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第3次课图书借阅设计说明</w:t>
      </w:r>
    </w:p>
    <w:p>
      <w:r>
        <w:t>借阅上限由独立策略校验，学生、教师和VIP分别使用5本、10本和15本规则。注册表按读者类型选择策略，新增类型时只补充策略和装配，原有规则保持稳定。VIP上限采用本次工程约定。</w:t>
      </w:r>
    </w:p>
    <w:p>
      <w:r>
        <w:t>标准与审计借阅共用模板方法，固定校验、借出、保存、成功扩展和通知的顺序，审计服务仅覆盖保存后的成功钩子。保存失败时恢复图书状态，并跳过审计与通知。图书采用状态模式，由可借、借出、预约和维修状态处理合法动作，预约人可以借出或取消，非法动作保持原状态。</w:t>
      </w:r>
    </w:p>
    <w:p>
      <w:r>
        <w:t>验证保留第二次课用例，补充上限边界、保存失败和24种状态动作组合检查。代价是规则、状态类增加，以及审计服务对父类流程的依赖。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200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第3次课图书借阅设计说明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