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第3次课 学生实践任务单</w:t>
      </w:r>
    </w:p>
    <w:p>
      <w:pPr>
        <w:pStyle w:val="Subtitle"/>
        <w:spacing w:after="240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Strategy  Template Method  State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本次实践以图书借阅系统为背景。请在起始工程中完成三个连续任务，保持已有功能正确，并用自动化测试证明新增行为。任务单规定业务需求、约束和验收标准，具体类、接口及对象协作方式由你自行设计。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一 起始工程与共同要求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解压学生起始工程，在IDE中运行 edu.course.library.Class03Application，观察重构前的一次完整借阅过程。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执行 mvn test，确认起始工程的全部基线测试通过。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在原工程中完成任务，不得另起项目；学生、教师、受限图书、保存和通知等已有行为必须保持。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每完成一个任务都运行全部测试。接口改变时，可调整原4项基线测试的装配和状态类型适配，但必须保留用例及原业务断言。设计应依据实际变化，不以类数量作为使用模式的理由。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二 任务A 读者规则持续增加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新增VIP读者：最多借15本；普通图书借60天；受限图书借30天。后续还可能增加校友、访问学者等类型，各类规则可能独立调整。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设计要求：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新增读者类型时，已有读者规则不应被反复修改。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每类完整规则能够独立验证借阅额度、受限图书权限和借期。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借阅主流程不包含具体读者类型的业务规则。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验收标准：</w:t>
      </w:r>
      <w:r>
        <w:rPr>
          <w:rFonts w:ascii="Microsoft YaHei" w:hAnsi="Microsoft YaHei" w:eastAsia="Microsoft YaHei"/>
          <w:color w:val="000000"/>
          <w:sz w:val="21"/>
        </w:rPr>
        <w:t>学生借期30天且不能借受限图书；教师借期90天且可以借受限图书；VIP普通图书60天、受限图书30天；各类借阅额度边界正确。</w:t>
      </w:r>
    </w:p>
    <w:p>
      <w:pPr>
        <w:pStyle w:val="Heading1"/>
        <w:keepNext/>
        <w:pageBreakBefore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三 任务B 标准借阅与审计借阅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系统需要支持标准借阅和审计借阅。两种流程都依次完成对象查找、规则判断、图书状态变更、记录保存和成功通知；审计借阅还要在整个核心流程成功后追加一条审计记录。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设计要求：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核心流程只维护一份，不能在两种流程中整体复制。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两种流程只在少量明确步骤上产生差异，核心步骤顺序保持一致。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规则拒绝、图书状态拒绝或保存失败时，不得写入成功审计记录。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验收标准：</w:t>
      </w:r>
      <w:r>
        <w:rPr>
          <w:rFonts w:ascii="Microsoft YaHei" w:hAnsi="Microsoft YaHei" w:eastAsia="Microsoft YaHei"/>
          <w:color w:val="000000"/>
          <w:sz w:val="21"/>
        </w:rPr>
        <w:t>两种流程的核心结果相同；审计借阅成功时恰好追加一条审计。规则或状态拒绝时不保存、不通知、不审计；保存失败时不通知、不审计。本任务不要求自动回滚已完成操作。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四 任务C 图书生命周期扩展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图书具有可借、借出、预约和维修四种状态。不同状态允许的动作不同，合法动作可能使图书进入新状态。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设计要求：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可借图书可以借出或送修；借出图书可以归还或被预约。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预约图书可以完成借出或取消预约；维修图书只能在维修完成后恢复为可借。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调用图书动作的代码不重复判断所有状态。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非法动作给出稳定的错误信息，并保持原状态不变。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验收标准：</w:t>
      </w:r>
      <w:r>
        <w:rPr>
          <w:rFonts w:ascii="Microsoft YaHei" w:hAnsi="Microsoft YaHei" w:eastAsia="Microsoft YaHei"/>
          <w:color w:val="000000"/>
          <w:sz w:val="21"/>
        </w:rPr>
        <w:t>自动化测试覆盖所有关键合法迁移，并至少验证两条非法迁移及其状态不变。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五 提交产物与打包方式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只提交一个总压缩包，文件名为 第3次课_学号_姓名.zip。总压缩包内必须且只能包含以下两个文件：</w:t>
      </w:r>
    </w:p>
    <w:p>
      <w:pPr>
        <w:pStyle w:val="ListNumber"/>
        <w:spacing w:after="60" w:line="288" w:lineRule="auto"/>
        <w:ind w:left="425" w:hanging="170"/>
      </w:pPr>
      <w:r>
        <w:rPr>
          <w:rFonts w:ascii="Microsoft YaHei" w:hAnsi="Microsoft YaHei" w:eastAsia="Microsoft YaHei"/>
          <w:color w:val="000000"/>
          <w:sz w:val="21"/>
        </w:rPr>
        <w:t>工程文件_学号_姓名.zip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工程压缩包必须包含 pom.xml 和完整的 src 目录，保证解压后可以直接执行 mvn test。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不要包含 target、.idea、.vscode、*.iml 等编译结果或IDE缓存文件。</w:t>
      </w:r>
    </w:p>
    <w:p>
      <w:pPr>
        <w:pStyle w:val="ListNumber"/>
        <w:spacing w:after="60" w:line="288" w:lineRule="auto"/>
        <w:ind w:left="425" w:hanging="170"/>
      </w:pPr>
      <w:r>
        <w:rPr>
          <w:rFonts w:ascii="Microsoft YaHei" w:hAnsi="Microsoft YaHei" w:eastAsia="Microsoft YaHei"/>
          <w:color w:val="000000"/>
          <w:sz w:val="21"/>
        </w:rPr>
        <w:t>设计说明_学号_姓名.docx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正文不超过300字，说明三个模式分别保护了什么变化、带来了什么成本，并指出主要测试依据。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文档只提交文字，不提交任何类图、时序图、状态图、流程图、截图或其他图片。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不接收</w:t>
      </w:r>
      <w:r>
        <w:rPr>
          <w:rFonts w:ascii="Microsoft YaHei" w:hAnsi="Microsoft YaHei" w:eastAsia="Microsoft YaHei"/>
          <w:color w:val="000000"/>
          <w:sz w:val="21"/>
        </w:rPr>
        <w:t>PDF、图片文件、在线文档链接或散装文件。提交前请解压总压缩包，确认文件名、目录结构和测试命令均正确。</w:t>
      </w:r>
    </w:p>
    <w:sectPr w:rsidR="00FC693F" w:rsidRPr="0006063C" w:rsidSect="00034616">
      <w:footerReference w:type="default" r:id="rId9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第3次课 学生实践任务单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第3次课 学生实践任务单</dc:title>
  <dc:subject>Strategy Template Method State 综合实践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