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第3次课图书借阅设计说明</w:t>
      </w:r>
    </w:p>
    <w:p>
      <w:r>
        <w:t>借阅规则采用策略模式，学生、教师和VIP分别校验额度、受限图书权限及借期，新增读者类型时增加策略和登记，已有规则保持原样。VIP普通图书60天、受限图书30天。</w:t>
      </w:r>
    </w:p>
    <w:p>
      <w:r>
        <w:t>标准与审计借阅共用模板方法，按查找、规则判断、状态变更、保存和通知的顺序执行，审计在通知成功后追加。规则、状态或保存失败时跳过成功审计，保存失败保留已完成操作。状态模式将图书动作分配给可借、借出、预约和维修状态，借出图书可预约，预约后可完成借出或取消，非法动作保留原状态。</w:t>
      </w:r>
    </w:p>
    <w:p>
      <w:r>
        <w:t>成本是策略、状态类增加及子类对模板流程的依赖。原4项基线测试完整保留，57项测试覆盖借期权限、额度边界、失败副作用和28种状态动作组合。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200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240" w:lineRule="auto"/>
      <w:contextualSpacing/>
    </w:pPr>
    <w:rPr>
      <w:rFonts w:asciiTheme="majorHAnsi" w:eastAsiaTheme="majorEastAsia" w:hAnsiTheme="majorHAnsi" w:cstheme="majorBidi" w:ascii="宋体" w:hAnsi="宋体" w:eastAsia="宋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第3次课图书借阅设计说明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