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E79BF">
      <w:pPr>
        <w:rPr>
          <w:sz w:val="28"/>
          <w:szCs w:val="28"/>
        </w:rPr>
      </w:pPr>
    </w:p>
    <w:p w14:paraId="01D80199">
      <w:pPr>
        <w:jc w:val="center"/>
        <w:rPr>
          <w:sz w:val="44"/>
          <w:szCs w:val="44"/>
        </w:rPr>
      </w:pPr>
      <w:r>
        <w:rPr>
          <w:rFonts w:hint="eastAsia"/>
          <w:sz w:val="44"/>
          <w:szCs w:val="44"/>
        </w:rPr>
        <w:t>杭州电子科技大学</w:t>
      </w:r>
    </w:p>
    <w:p w14:paraId="08B8ABB0">
      <w:pPr>
        <w:jc w:val="center"/>
        <w:rPr>
          <w:sz w:val="44"/>
          <w:szCs w:val="44"/>
        </w:rPr>
      </w:pPr>
      <w:r>
        <w:rPr>
          <w:rFonts w:hint="eastAsia"/>
          <w:sz w:val="44"/>
          <w:szCs w:val="44"/>
          <w:u w:val="single"/>
        </w:rPr>
        <w:t>计算机系统结构</w:t>
      </w:r>
    </w:p>
    <w:p w14:paraId="1289F82B">
      <w:pPr>
        <w:jc w:val="center"/>
        <w:rPr>
          <w:sz w:val="72"/>
          <w:szCs w:val="72"/>
        </w:rPr>
      </w:pPr>
      <w:r>
        <w:rPr>
          <w:rFonts w:hint="eastAsia"/>
          <w:sz w:val="72"/>
          <w:szCs w:val="72"/>
        </w:rPr>
        <w:t>实验报告</w:t>
      </w:r>
    </w:p>
    <w:p w14:paraId="45359B4C">
      <w:pPr>
        <w:rPr>
          <w:sz w:val="44"/>
          <w:szCs w:val="44"/>
        </w:rPr>
      </w:pPr>
    </w:p>
    <w:p w14:paraId="4CA48A1B">
      <w:pPr>
        <w:rPr>
          <w:rFonts w:hint="eastAsia"/>
          <w:sz w:val="44"/>
          <w:szCs w:val="44"/>
        </w:rPr>
      </w:pPr>
      <w:r>
        <w:rPr>
          <w:rFonts w:hint="eastAsia"/>
          <w:sz w:val="44"/>
          <w:szCs w:val="44"/>
        </w:rPr>
        <w:t>实验名称：Cache性能分析</w:t>
      </w:r>
    </w:p>
    <w:p w14:paraId="4D9B0ABB">
      <w:pPr>
        <w:rPr>
          <w:sz w:val="44"/>
          <w:szCs w:val="44"/>
        </w:rPr>
      </w:pPr>
    </w:p>
    <w:p w14:paraId="2509D922">
      <w:pPr>
        <w:rPr>
          <w:rFonts w:hint="default" w:eastAsiaTheme="minorEastAsia"/>
          <w:sz w:val="44"/>
          <w:szCs w:val="44"/>
          <w:lang w:val="en-US" w:eastAsia="zh-CN"/>
        </w:rPr>
      </w:pPr>
      <w:r>
        <w:rPr>
          <w:rFonts w:hint="eastAsia"/>
          <w:sz w:val="44"/>
          <w:szCs w:val="44"/>
        </w:rPr>
        <w:t>完成人：</w:t>
      </w:r>
    </w:p>
    <w:p w14:paraId="1DE25B51">
      <w:pPr>
        <w:ind w:firstLine="1320" w:firstLineChars="300"/>
        <w:rPr>
          <w:rFonts w:hint="default" w:eastAsiaTheme="minorEastAsia"/>
          <w:sz w:val="44"/>
          <w:szCs w:val="44"/>
          <w:lang w:val="en-US" w:eastAsia="zh-CN"/>
        </w:rPr>
      </w:pPr>
      <w:r>
        <w:rPr>
          <w:rFonts w:hint="eastAsia"/>
          <w:sz w:val="44"/>
          <w:szCs w:val="44"/>
        </w:rPr>
        <w:t>学号：</w:t>
      </w:r>
      <w:r>
        <w:rPr>
          <w:rFonts w:hint="eastAsia"/>
          <w:sz w:val="44"/>
          <w:szCs w:val="44"/>
          <w:lang w:val="en-US" w:eastAsia="zh-CN"/>
        </w:rPr>
        <w:t>22050313</w:t>
      </w:r>
    </w:p>
    <w:p w14:paraId="15A4FDB5">
      <w:pPr>
        <w:ind w:firstLine="1320" w:firstLineChars="300"/>
        <w:rPr>
          <w:rFonts w:hint="default" w:eastAsiaTheme="minorEastAsia"/>
          <w:sz w:val="44"/>
          <w:szCs w:val="44"/>
          <w:u w:val="single"/>
          <w:lang w:val="en-US" w:eastAsia="zh-CN"/>
        </w:rPr>
      </w:pPr>
      <w:r>
        <w:rPr>
          <w:rFonts w:hint="eastAsia"/>
          <w:sz w:val="44"/>
          <w:szCs w:val="44"/>
        </w:rPr>
        <w:t>姓名：</w:t>
      </w:r>
      <w:r>
        <w:rPr>
          <w:rFonts w:hint="eastAsia"/>
          <w:sz w:val="44"/>
          <w:szCs w:val="44"/>
          <w:lang w:val="en-US" w:eastAsia="zh-CN"/>
        </w:rPr>
        <w:t>张慧源</w:t>
      </w:r>
    </w:p>
    <w:p w14:paraId="3222367F">
      <w:pPr>
        <w:rPr>
          <w:sz w:val="44"/>
          <w:szCs w:val="44"/>
        </w:rPr>
      </w:pPr>
    </w:p>
    <w:p w14:paraId="17F99A29">
      <w:pPr>
        <w:rPr>
          <w:sz w:val="44"/>
          <w:szCs w:val="44"/>
          <w:u w:val="single"/>
        </w:rPr>
      </w:pPr>
      <w:r>
        <w:rPr>
          <w:rFonts w:hint="eastAsia"/>
          <w:sz w:val="44"/>
          <w:szCs w:val="44"/>
        </w:rPr>
        <w:t>分数：（</w:t>
      </w:r>
      <w:r>
        <w:rPr>
          <w:rFonts w:hint="eastAsia"/>
          <w:color w:val="FF0000"/>
          <w:sz w:val="18"/>
          <w:szCs w:val="18"/>
        </w:rPr>
        <w:t>老师填写</w:t>
      </w:r>
      <w:r>
        <w:rPr>
          <w:rFonts w:hint="eastAsia"/>
          <w:sz w:val="44"/>
          <w:szCs w:val="44"/>
        </w:rPr>
        <w:t>）</w:t>
      </w:r>
      <w:r>
        <w:rPr>
          <w:sz w:val="44"/>
          <w:szCs w:val="44"/>
          <w:u w:val="single"/>
        </w:rPr>
        <w:br w:type="page"/>
      </w:r>
      <w:bookmarkStart w:id="0" w:name="_GoBack"/>
      <w:bookmarkEnd w:id="0"/>
    </w:p>
    <w:p w14:paraId="144DCCF9">
      <w:pPr>
        <w:jc w:val="center"/>
        <w:rPr>
          <w:sz w:val="72"/>
          <w:szCs w:val="72"/>
        </w:rPr>
      </w:pPr>
      <w:r>
        <w:rPr>
          <w:rFonts w:hint="eastAsia"/>
          <w:sz w:val="72"/>
          <w:szCs w:val="72"/>
        </w:rPr>
        <w:t>说明</w:t>
      </w:r>
    </w:p>
    <w:p w14:paraId="6313B744">
      <w:pPr>
        <w:jc w:val="center"/>
        <w:rPr>
          <w:color w:val="FF0000"/>
          <w:sz w:val="36"/>
          <w:szCs w:val="36"/>
        </w:rPr>
      </w:pPr>
      <w:r>
        <w:rPr>
          <w:rFonts w:hint="eastAsia"/>
          <w:color w:val="FF0000"/>
          <w:sz w:val="36"/>
          <w:szCs w:val="36"/>
          <w:highlight w:val="yellow"/>
        </w:rPr>
        <w:t>（请认真阅读）</w:t>
      </w:r>
    </w:p>
    <w:p w14:paraId="2D636AAF">
      <w:pPr>
        <w:rPr>
          <w:sz w:val="24"/>
          <w:szCs w:val="24"/>
        </w:rPr>
      </w:pPr>
    </w:p>
    <w:p w14:paraId="224D9F5D">
      <w:pPr>
        <w:rPr>
          <w:b/>
          <w:sz w:val="24"/>
          <w:szCs w:val="24"/>
        </w:rPr>
      </w:pPr>
      <w:r>
        <w:rPr>
          <w:rFonts w:hint="eastAsia"/>
          <w:b/>
          <w:sz w:val="24"/>
          <w:szCs w:val="24"/>
        </w:rPr>
        <w:t>1，报告文件的命名</w:t>
      </w:r>
    </w:p>
    <w:p w14:paraId="7DA5CFCB">
      <w:pPr>
        <w:rPr>
          <w:sz w:val="24"/>
          <w:szCs w:val="24"/>
        </w:rPr>
      </w:pPr>
      <w:r>
        <w:rPr>
          <w:rFonts w:hint="eastAsia"/>
          <w:sz w:val="24"/>
          <w:szCs w:val="24"/>
        </w:rPr>
        <w:t>学号姓名 L</w:t>
      </w:r>
      <w:r>
        <w:rPr>
          <w:sz w:val="24"/>
          <w:szCs w:val="24"/>
        </w:rPr>
        <w:t>abX(X</w:t>
      </w:r>
      <w:r>
        <w:rPr>
          <w:rFonts w:hint="eastAsia"/>
          <w:sz w:val="24"/>
          <w:szCs w:val="24"/>
        </w:rPr>
        <w:t>为实验编号</w:t>
      </w:r>
      <w:r>
        <w:rPr>
          <w:sz w:val="24"/>
          <w:szCs w:val="24"/>
        </w:rPr>
        <w:t>)</w:t>
      </w:r>
    </w:p>
    <w:p w14:paraId="245219B6">
      <w:pPr>
        <w:rPr>
          <w:b/>
          <w:sz w:val="24"/>
          <w:szCs w:val="24"/>
        </w:rPr>
      </w:pPr>
      <w:r>
        <w:rPr>
          <w:rFonts w:hint="eastAsia"/>
          <w:b/>
          <w:sz w:val="24"/>
          <w:szCs w:val="24"/>
        </w:rPr>
        <w:t>2，每次报告提交的内容、提交网址及截至时间</w:t>
      </w:r>
    </w:p>
    <w:p w14:paraId="273B1CED">
      <w:pPr>
        <w:rPr>
          <w:sz w:val="24"/>
          <w:szCs w:val="24"/>
        </w:rPr>
      </w:pPr>
      <w:r>
        <w:rPr>
          <w:rFonts w:hint="eastAsia"/>
          <w:sz w:val="24"/>
          <w:szCs w:val="24"/>
        </w:rPr>
        <w:t>实验报告通过网络提交。</w:t>
      </w:r>
    </w:p>
    <w:p w14:paraId="1AC7F3AC">
      <w:pPr>
        <w:rPr>
          <w:sz w:val="24"/>
          <w:szCs w:val="24"/>
        </w:rPr>
      </w:pPr>
      <w:r>
        <w:rPr>
          <w:rFonts w:hint="eastAsia"/>
          <w:sz w:val="24"/>
          <w:szCs w:val="24"/>
        </w:rPr>
        <w:t>网址是QQ:2390138769@qq.</w:t>
      </w:r>
      <w:r>
        <w:rPr>
          <w:sz w:val="24"/>
          <w:szCs w:val="24"/>
        </w:rPr>
        <w:t>C</w:t>
      </w:r>
      <w:r>
        <w:rPr>
          <w:rFonts w:hint="eastAsia"/>
          <w:sz w:val="24"/>
          <w:szCs w:val="24"/>
        </w:rPr>
        <w:t>om邮箱。</w:t>
      </w:r>
    </w:p>
    <w:p w14:paraId="7551B7AE">
      <w:pPr>
        <w:rPr>
          <w:sz w:val="24"/>
          <w:szCs w:val="24"/>
        </w:rPr>
      </w:pPr>
      <w:r>
        <w:rPr>
          <w:rFonts w:hint="eastAsia"/>
          <w:sz w:val="24"/>
          <w:szCs w:val="24"/>
        </w:rPr>
        <w:t>截止时间：钉钉群中发布。</w:t>
      </w:r>
    </w:p>
    <w:p w14:paraId="4765C00B">
      <w:pPr>
        <w:widowControl/>
        <w:jc w:val="left"/>
        <w:rPr>
          <w:sz w:val="24"/>
          <w:szCs w:val="24"/>
        </w:rPr>
      </w:pPr>
      <w:r>
        <w:rPr>
          <w:sz w:val="24"/>
          <w:szCs w:val="24"/>
        </w:rPr>
        <w:br w:type="page"/>
      </w:r>
    </w:p>
    <w:p w14:paraId="76C4DDF6">
      <w:pPr>
        <w:rPr>
          <w:sz w:val="44"/>
          <w:szCs w:val="44"/>
        </w:rPr>
      </w:pPr>
      <w:r>
        <w:rPr>
          <w:rFonts w:hint="eastAsia"/>
          <w:sz w:val="44"/>
          <w:szCs w:val="44"/>
        </w:rPr>
        <w:t>（</w:t>
      </w:r>
      <w:r>
        <w:rPr>
          <w:rFonts w:hint="eastAsia"/>
          <w:color w:val="FF0000"/>
          <w:sz w:val="18"/>
          <w:szCs w:val="18"/>
        </w:rPr>
        <w:t>从此处开始速写正文</w:t>
      </w:r>
      <w:r>
        <w:rPr>
          <w:rFonts w:hint="eastAsia"/>
          <w:sz w:val="44"/>
          <w:szCs w:val="44"/>
        </w:rPr>
        <w:t>）</w:t>
      </w:r>
    </w:p>
    <w:p w14:paraId="3E86DFA8">
      <w:pPr>
        <w:pStyle w:val="2"/>
        <w:rPr>
          <w:rFonts w:hint="eastAsia"/>
        </w:rPr>
      </w:pPr>
      <w:r>
        <w:rPr>
          <w:rFonts w:hint="eastAsia"/>
        </w:rPr>
        <w:t>1实验目的和平台：</w:t>
      </w:r>
    </w:p>
    <w:p w14:paraId="73AB4252">
      <w:pPr>
        <w:rPr>
          <w:rFonts w:hint="default"/>
          <w:szCs w:val="21"/>
          <w:lang w:val="en-US" w:eastAsia="zh-CN"/>
        </w:rPr>
      </w:pPr>
      <w:r>
        <w:rPr>
          <w:rFonts w:hint="eastAsia"/>
          <w:szCs w:val="21"/>
          <w:lang w:val="en-US" w:eastAsia="zh-CN"/>
        </w:rPr>
        <w:t>目的：</w:t>
      </w:r>
    </w:p>
    <w:p w14:paraId="7A6B52AA">
      <w:pPr>
        <w:rPr>
          <w:rFonts w:hint="eastAsia"/>
          <w:szCs w:val="21"/>
        </w:rPr>
      </w:pPr>
      <w:r>
        <w:rPr>
          <w:rFonts w:hint="eastAsia"/>
          <w:szCs w:val="21"/>
          <w:lang w:val="en-US" w:eastAsia="zh-CN"/>
        </w:rPr>
        <w:t xml:space="preserve">(1)加深对 Cache 的些本概念、基本组织结构-以及基本工作原理的理解 </w:t>
      </w:r>
    </w:p>
    <w:p w14:paraId="38E57CA8">
      <w:pPr>
        <w:rPr>
          <w:rFonts w:hint="eastAsia"/>
          <w:szCs w:val="21"/>
        </w:rPr>
      </w:pPr>
      <w:r>
        <w:rPr>
          <w:rFonts w:hint="eastAsia"/>
          <w:szCs w:val="21"/>
          <w:lang w:val="en-US" w:eastAsia="zh-CN"/>
        </w:rPr>
        <w:t xml:space="preserve">(2)掌握Cache容量、相联度、块大小对Cache性能的影响。 </w:t>
      </w:r>
    </w:p>
    <w:p w14:paraId="4F75DE5A">
      <w:pPr>
        <w:rPr>
          <w:rFonts w:hint="eastAsia"/>
          <w:szCs w:val="21"/>
        </w:rPr>
      </w:pPr>
      <w:r>
        <w:rPr>
          <w:rFonts w:hint="eastAsia"/>
          <w:szCs w:val="21"/>
          <w:lang w:val="en-US" w:eastAsia="zh-CN"/>
        </w:rPr>
        <w:t xml:space="preserve">(3)掌握降低Cache不命中率的各种方法以及这些方法对提高Cache性能的好处。 </w:t>
      </w:r>
    </w:p>
    <w:p w14:paraId="3A04A66C">
      <w:pPr>
        <w:rPr>
          <w:rFonts w:hint="eastAsia"/>
          <w:szCs w:val="21"/>
          <w:lang w:val="en-US" w:eastAsia="zh-CN"/>
        </w:rPr>
      </w:pPr>
      <w:r>
        <w:rPr>
          <w:rFonts w:hint="eastAsia"/>
          <w:szCs w:val="21"/>
          <w:lang w:val="en-US" w:eastAsia="zh-CN"/>
        </w:rPr>
        <w:t xml:space="preserve">(4)理解LRU与随机法的基本思想以及它们对Cache性能的影响。 </w:t>
      </w:r>
    </w:p>
    <w:p w14:paraId="4AA0D18C">
      <w:pPr>
        <w:rPr>
          <w:rFonts w:hint="eastAsia"/>
          <w:szCs w:val="21"/>
          <w:lang w:val="en-US" w:eastAsia="zh-CN"/>
        </w:rPr>
      </w:pPr>
      <w:r>
        <w:rPr>
          <w:rFonts w:hint="eastAsia"/>
          <w:szCs w:val="21"/>
          <w:lang w:val="en-US" w:eastAsia="zh-CN"/>
        </w:rPr>
        <w:t>平台：</w:t>
      </w:r>
    </w:p>
    <w:p w14:paraId="0EA872DB">
      <w:pPr>
        <w:rPr>
          <w:rFonts w:hint="eastAsia"/>
          <w:szCs w:val="21"/>
        </w:rPr>
      </w:pPr>
      <w:r>
        <w:rPr>
          <w:rFonts w:hint="eastAsia"/>
          <w:szCs w:val="21"/>
          <w:lang w:val="en-US" w:eastAsia="zh-CN"/>
        </w:rPr>
        <w:t xml:space="preserve">实验平台采用Cache 模拟器 MyCache。 </w:t>
      </w:r>
    </w:p>
    <w:p w14:paraId="6BCB7858">
      <w:pPr>
        <w:rPr>
          <w:rFonts w:hint="eastAsia"/>
          <w:szCs w:val="21"/>
        </w:rPr>
      </w:pPr>
      <w:r>
        <w:rPr>
          <w:rFonts w:hint="eastAsia"/>
          <w:szCs w:val="21"/>
          <w:lang w:val="en-US" w:eastAsia="zh-CN"/>
        </w:rPr>
        <w:t>设计：张晨曦教授，版权所有</w:t>
      </w:r>
    </w:p>
    <w:p w14:paraId="33AD3577">
      <w:pPr>
        <w:keepNext w:val="0"/>
        <w:keepLines w:val="0"/>
        <w:widowControl/>
        <w:suppressLineNumbers w:val="0"/>
        <w:jc w:val="left"/>
        <w:rPr>
          <w:rFonts w:hint="default" w:ascii="宋体" w:hAnsi="宋体" w:eastAsia="宋体" w:cs="宋体"/>
          <w:color w:val="000000"/>
          <w:kern w:val="0"/>
          <w:sz w:val="26"/>
          <w:szCs w:val="26"/>
          <w:lang w:val="en-US" w:eastAsia="zh-CN" w:bidi="ar"/>
        </w:rPr>
      </w:pPr>
    </w:p>
    <w:p w14:paraId="3ED030F4">
      <w:pPr>
        <w:rPr>
          <w:szCs w:val="21"/>
        </w:rPr>
      </w:pPr>
    </w:p>
    <w:p w14:paraId="6807E188">
      <w:pPr>
        <w:pStyle w:val="2"/>
        <w:rPr>
          <w:rFonts w:hint="eastAsia"/>
        </w:rPr>
      </w:pPr>
      <w:r>
        <w:rPr>
          <w:rFonts w:hint="eastAsia"/>
        </w:rPr>
        <w:t>2实验内容和步骤：</w:t>
      </w:r>
    </w:p>
    <w:p w14:paraId="5640B628">
      <w:pPr>
        <w:rPr>
          <w:rFonts w:hint="eastAsia"/>
          <w:lang w:eastAsia="zh-CN"/>
        </w:rPr>
      </w:pPr>
      <w:r>
        <w:rPr>
          <w:rFonts w:hint="eastAsia"/>
        </w:rPr>
        <w:t>首先要掌握MyCache模拟器的使用方法</w:t>
      </w:r>
      <w:r>
        <w:rPr>
          <w:rFonts w:hint="eastAsia"/>
          <w:lang w:eastAsia="zh-CN"/>
        </w:rPr>
        <w:t>。</w:t>
      </w:r>
    </w:p>
    <w:p w14:paraId="0439528B">
      <w:pPr>
        <w:pStyle w:val="3"/>
        <w:bidi w:val="0"/>
        <w:rPr>
          <w:rFonts w:hint="eastAsia"/>
          <w:lang w:eastAsia="zh-CN"/>
        </w:rPr>
      </w:pPr>
      <w:r>
        <w:rPr>
          <w:rFonts w:hint="eastAsia"/>
          <w:lang w:eastAsia="zh-CN"/>
        </w:rPr>
        <w:t>4.3.1 Cache 容量对不命中率的影响</w:t>
      </w:r>
    </w:p>
    <w:p w14:paraId="20237084">
      <w:pPr>
        <w:rPr>
          <w:rFonts w:hint="eastAsia"/>
          <w:lang w:eastAsia="zh-CN"/>
        </w:rPr>
      </w:pPr>
      <w:r>
        <w:rPr>
          <w:rFonts w:hint="eastAsia"/>
          <w:lang w:eastAsia="zh-CN"/>
        </w:rPr>
        <w:t>(1)启动MyCache。</w:t>
      </w:r>
    </w:p>
    <w:p w14:paraId="2579E0E6">
      <w:pPr>
        <w:rPr>
          <w:rFonts w:hint="eastAsia"/>
          <w:lang w:eastAsia="zh-CN"/>
        </w:rPr>
      </w:pPr>
      <w:r>
        <w:rPr>
          <w:rFonts w:hint="eastAsia"/>
          <w:lang w:eastAsia="zh-CN"/>
        </w:rPr>
        <w:t>(2)单击“复位”按钮，把各参数设置为默认值。</w:t>
      </w:r>
    </w:p>
    <w:p w14:paraId="00EDA388">
      <w:pPr>
        <w:rPr>
          <w:rFonts w:hint="eastAsia"/>
          <w:lang w:eastAsia="zh-CN"/>
        </w:rPr>
      </w:pPr>
      <w:r>
        <w:rPr>
          <w:rFonts w:hint="eastAsia"/>
          <w:lang w:eastAsia="zh-CN"/>
        </w:rPr>
        <w:t>(3)选择一个地址流文件。方法：选择“访问地址”→“地址流文件”选项，然后单击</w:t>
      </w:r>
    </w:p>
    <w:p w14:paraId="669AC30D">
      <w:pPr>
        <w:rPr>
          <w:rFonts w:hint="eastAsia"/>
          <w:lang w:eastAsia="zh-CN"/>
        </w:rPr>
      </w:pPr>
      <w:r>
        <w:rPr>
          <w:rFonts w:hint="eastAsia"/>
          <w:lang w:eastAsia="zh-CN"/>
        </w:rPr>
        <w:t>“浏览”按钮，从本模拟器所在的文件夹下的“地址流”文件夹中选取。</w:t>
      </w:r>
    </w:p>
    <w:p w14:paraId="1F53EF55">
      <w:pPr>
        <w:rPr>
          <w:rFonts w:hint="eastAsia"/>
          <w:lang w:eastAsia="zh-CN"/>
        </w:rPr>
      </w:pPr>
      <w:r>
        <w:rPr>
          <w:rFonts w:hint="eastAsia"/>
          <w:lang w:eastAsia="zh-CN"/>
        </w:rPr>
        <w:t>(4)选择不同的 Cache 容量，包括2KB、4KB、8KB、16KB、32KB、64KB、128KB、</w:t>
      </w:r>
    </w:p>
    <w:p w14:paraId="3B446B96">
      <w:pPr>
        <w:rPr>
          <w:rFonts w:hint="eastAsia"/>
          <w:lang w:eastAsia="zh-CN"/>
        </w:rPr>
      </w:pPr>
      <w:r>
        <w:rPr>
          <w:rFonts w:hint="eastAsia"/>
          <w:lang w:eastAsia="zh-CN"/>
        </w:rPr>
        <w:t>256KB,分别执行模拟器(单击“执行到底”按钮即可执行),然后在表4.1中记录各种情况</w:t>
      </w:r>
    </w:p>
    <w:p w14:paraId="5C2ED345">
      <w:pPr>
        <w:rPr>
          <w:rFonts w:hint="eastAsia"/>
          <w:lang w:eastAsia="zh-CN"/>
        </w:rPr>
      </w:pPr>
      <w:r>
        <w:rPr>
          <w:rFonts w:hint="eastAsia"/>
          <w:lang w:eastAsia="zh-CN"/>
        </w:rPr>
        <w:t>下的不命中率。</w:t>
      </w:r>
    </w:p>
    <w:p w14:paraId="5FCEA6AC">
      <w:pPr>
        <w:rPr>
          <w:rFonts w:hint="eastAsia"/>
          <w:lang w:eastAsia="zh-CN"/>
        </w:rPr>
      </w:pPr>
      <w:r>
        <w:rPr>
          <w:rFonts w:hint="eastAsia"/>
          <w:lang w:eastAsia="zh-CN"/>
        </w:rPr>
        <w:t>地址流文件名：all.din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2FBF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2727473">
            <w:pPr>
              <w:rPr>
                <w:rFonts w:hint="default"/>
                <w:vertAlign w:val="baseline"/>
                <w:lang w:val="en-US" w:eastAsia="zh-CN"/>
              </w:rPr>
            </w:pPr>
            <w:r>
              <w:rPr>
                <w:rFonts w:hint="eastAsia"/>
                <w:vertAlign w:val="baseline"/>
                <w:lang w:val="en-US" w:eastAsia="zh-CN"/>
              </w:rPr>
              <w:t>容量（KB）</w:t>
            </w:r>
          </w:p>
        </w:tc>
        <w:tc>
          <w:tcPr>
            <w:tcW w:w="947" w:type="dxa"/>
          </w:tcPr>
          <w:p w14:paraId="73711288">
            <w:pPr>
              <w:rPr>
                <w:rFonts w:hint="default"/>
                <w:vertAlign w:val="baseline"/>
                <w:lang w:val="en-US" w:eastAsia="zh-CN"/>
              </w:rPr>
            </w:pPr>
            <w:r>
              <w:rPr>
                <w:rFonts w:hint="eastAsia"/>
                <w:vertAlign w:val="baseline"/>
                <w:lang w:val="en-US" w:eastAsia="zh-CN"/>
              </w:rPr>
              <w:t>2</w:t>
            </w:r>
          </w:p>
        </w:tc>
        <w:tc>
          <w:tcPr>
            <w:tcW w:w="947" w:type="dxa"/>
          </w:tcPr>
          <w:p w14:paraId="410B6E09">
            <w:pPr>
              <w:rPr>
                <w:rFonts w:hint="default"/>
                <w:vertAlign w:val="baseline"/>
                <w:lang w:val="en-US" w:eastAsia="zh-CN"/>
              </w:rPr>
            </w:pPr>
            <w:r>
              <w:rPr>
                <w:rFonts w:hint="eastAsia"/>
                <w:vertAlign w:val="baseline"/>
                <w:lang w:val="en-US" w:eastAsia="zh-CN"/>
              </w:rPr>
              <w:t>4</w:t>
            </w:r>
          </w:p>
        </w:tc>
        <w:tc>
          <w:tcPr>
            <w:tcW w:w="947" w:type="dxa"/>
          </w:tcPr>
          <w:p w14:paraId="7A13313E">
            <w:pPr>
              <w:rPr>
                <w:rFonts w:hint="default"/>
                <w:vertAlign w:val="baseline"/>
                <w:lang w:val="en-US" w:eastAsia="zh-CN"/>
              </w:rPr>
            </w:pPr>
            <w:r>
              <w:rPr>
                <w:rFonts w:hint="eastAsia"/>
                <w:vertAlign w:val="baseline"/>
                <w:lang w:val="en-US" w:eastAsia="zh-CN"/>
              </w:rPr>
              <w:t>8</w:t>
            </w:r>
          </w:p>
        </w:tc>
        <w:tc>
          <w:tcPr>
            <w:tcW w:w="947" w:type="dxa"/>
          </w:tcPr>
          <w:p w14:paraId="306DDF3F">
            <w:pPr>
              <w:rPr>
                <w:rFonts w:hint="default"/>
                <w:vertAlign w:val="baseline"/>
                <w:lang w:val="en-US" w:eastAsia="zh-CN"/>
              </w:rPr>
            </w:pPr>
            <w:r>
              <w:rPr>
                <w:rFonts w:hint="eastAsia"/>
                <w:vertAlign w:val="baseline"/>
                <w:lang w:val="en-US" w:eastAsia="zh-CN"/>
              </w:rPr>
              <w:t>16</w:t>
            </w:r>
          </w:p>
        </w:tc>
        <w:tc>
          <w:tcPr>
            <w:tcW w:w="947" w:type="dxa"/>
          </w:tcPr>
          <w:p w14:paraId="5836B466">
            <w:pPr>
              <w:rPr>
                <w:rFonts w:hint="default"/>
                <w:vertAlign w:val="baseline"/>
                <w:lang w:val="en-US" w:eastAsia="zh-CN"/>
              </w:rPr>
            </w:pPr>
            <w:r>
              <w:rPr>
                <w:rFonts w:hint="eastAsia"/>
                <w:vertAlign w:val="baseline"/>
                <w:lang w:val="en-US" w:eastAsia="zh-CN"/>
              </w:rPr>
              <w:t>32</w:t>
            </w:r>
          </w:p>
        </w:tc>
        <w:tc>
          <w:tcPr>
            <w:tcW w:w="947" w:type="dxa"/>
          </w:tcPr>
          <w:p w14:paraId="70213190">
            <w:pPr>
              <w:rPr>
                <w:rFonts w:hint="default"/>
                <w:vertAlign w:val="baseline"/>
                <w:lang w:val="en-US" w:eastAsia="zh-CN"/>
              </w:rPr>
            </w:pPr>
            <w:r>
              <w:rPr>
                <w:rFonts w:hint="eastAsia"/>
                <w:vertAlign w:val="baseline"/>
                <w:lang w:val="en-US" w:eastAsia="zh-CN"/>
              </w:rPr>
              <w:t>64</w:t>
            </w:r>
          </w:p>
        </w:tc>
        <w:tc>
          <w:tcPr>
            <w:tcW w:w="947" w:type="dxa"/>
          </w:tcPr>
          <w:p w14:paraId="05F62C6C">
            <w:pPr>
              <w:rPr>
                <w:rFonts w:hint="default"/>
                <w:vertAlign w:val="baseline"/>
                <w:lang w:val="en-US" w:eastAsia="zh-CN"/>
              </w:rPr>
            </w:pPr>
            <w:r>
              <w:rPr>
                <w:rFonts w:hint="eastAsia"/>
                <w:vertAlign w:val="baseline"/>
                <w:lang w:val="en-US" w:eastAsia="zh-CN"/>
              </w:rPr>
              <w:t>128</w:t>
            </w:r>
          </w:p>
        </w:tc>
        <w:tc>
          <w:tcPr>
            <w:tcW w:w="947" w:type="dxa"/>
          </w:tcPr>
          <w:p w14:paraId="55542F3F">
            <w:pPr>
              <w:rPr>
                <w:rFonts w:hint="default"/>
                <w:vertAlign w:val="baseline"/>
                <w:lang w:val="en-US" w:eastAsia="zh-CN"/>
              </w:rPr>
            </w:pPr>
            <w:r>
              <w:rPr>
                <w:rFonts w:hint="eastAsia"/>
                <w:vertAlign w:val="baseline"/>
                <w:lang w:val="en-US" w:eastAsia="zh-CN"/>
              </w:rPr>
              <w:t>256</w:t>
            </w:r>
          </w:p>
        </w:tc>
      </w:tr>
      <w:tr w14:paraId="671F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1E5A367F">
            <w:pPr>
              <w:rPr>
                <w:rFonts w:hint="default"/>
                <w:vertAlign w:val="baseline"/>
                <w:lang w:val="en-US" w:eastAsia="zh-CN"/>
              </w:rPr>
            </w:pPr>
            <w:r>
              <w:rPr>
                <w:rFonts w:hint="eastAsia"/>
                <w:vertAlign w:val="baseline"/>
                <w:lang w:val="en-US" w:eastAsia="zh-CN"/>
              </w:rPr>
              <w:t>不命中率</w:t>
            </w:r>
          </w:p>
        </w:tc>
        <w:tc>
          <w:tcPr>
            <w:tcW w:w="947" w:type="dxa"/>
          </w:tcPr>
          <w:p w14:paraId="7466206B">
            <w:pPr>
              <w:rPr>
                <w:rFonts w:hint="default"/>
                <w:vertAlign w:val="baseline"/>
                <w:lang w:val="en-US" w:eastAsia="zh-CN"/>
              </w:rPr>
            </w:pPr>
            <w:r>
              <w:rPr>
                <w:rFonts w:hint="eastAsia"/>
                <w:vertAlign w:val="baseline"/>
                <w:lang w:val="en-US" w:eastAsia="zh-CN"/>
              </w:rPr>
              <w:t>9.87%</w:t>
            </w:r>
          </w:p>
        </w:tc>
        <w:tc>
          <w:tcPr>
            <w:tcW w:w="947" w:type="dxa"/>
          </w:tcPr>
          <w:p w14:paraId="5604F50C">
            <w:pPr>
              <w:rPr>
                <w:rFonts w:hint="default"/>
                <w:vertAlign w:val="baseline"/>
                <w:lang w:val="en-US" w:eastAsia="zh-CN"/>
              </w:rPr>
            </w:pPr>
            <w:r>
              <w:rPr>
                <w:rFonts w:hint="eastAsia"/>
                <w:vertAlign w:val="baseline"/>
                <w:lang w:val="en-US" w:eastAsia="zh-CN"/>
              </w:rPr>
              <w:t>7.19%</w:t>
            </w:r>
          </w:p>
        </w:tc>
        <w:tc>
          <w:tcPr>
            <w:tcW w:w="947" w:type="dxa"/>
          </w:tcPr>
          <w:p w14:paraId="3B6B85C9">
            <w:pPr>
              <w:rPr>
                <w:rFonts w:hint="default"/>
                <w:vertAlign w:val="baseline"/>
                <w:lang w:val="en-US" w:eastAsia="zh-CN"/>
              </w:rPr>
            </w:pPr>
            <w:r>
              <w:rPr>
                <w:rFonts w:hint="eastAsia"/>
                <w:vertAlign w:val="baseline"/>
                <w:lang w:val="en-US" w:eastAsia="zh-CN"/>
              </w:rPr>
              <w:t>4.48%</w:t>
            </w:r>
          </w:p>
        </w:tc>
        <w:tc>
          <w:tcPr>
            <w:tcW w:w="947" w:type="dxa"/>
          </w:tcPr>
          <w:p w14:paraId="6D944BDD">
            <w:pPr>
              <w:rPr>
                <w:rFonts w:hint="default"/>
                <w:vertAlign w:val="baseline"/>
                <w:lang w:val="en-US" w:eastAsia="zh-CN"/>
              </w:rPr>
            </w:pPr>
            <w:r>
              <w:rPr>
                <w:rFonts w:hint="eastAsia"/>
                <w:vertAlign w:val="baseline"/>
                <w:lang w:val="en-US" w:eastAsia="zh-CN"/>
              </w:rPr>
              <w:t>2.65%</w:t>
            </w:r>
          </w:p>
        </w:tc>
        <w:tc>
          <w:tcPr>
            <w:tcW w:w="947" w:type="dxa"/>
          </w:tcPr>
          <w:p w14:paraId="634FBF8A">
            <w:pPr>
              <w:rPr>
                <w:rFonts w:hint="default"/>
                <w:vertAlign w:val="baseline"/>
                <w:lang w:val="en-US" w:eastAsia="zh-CN"/>
              </w:rPr>
            </w:pPr>
            <w:r>
              <w:rPr>
                <w:rFonts w:hint="eastAsia"/>
                <w:vertAlign w:val="baseline"/>
                <w:lang w:val="en-US" w:eastAsia="zh-CN"/>
              </w:rPr>
              <w:t>1.42%</w:t>
            </w:r>
          </w:p>
        </w:tc>
        <w:tc>
          <w:tcPr>
            <w:tcW w:w="947" w:type="dxa"/>
          </w:tcPr>
          <w:p w14:paraId="2A50EBE7">
            <w:pPr>
              <w:rPr>
                <w:rFonts w:hint="default"/>
                <w:vertAlign w:val="baseline"/>
                <w:lang w:val="en-US" w:eastAsia="zh-CN"/>
              </w:rPr>
            </w:pPr>
            <w:r>
              <w:rPr>
                <w:rFonts w:hint="eastAsia"/>
                <w:vertAlign w:val="baseline"/>
                <w:lang w:val="en-US" w:eastAsia="zh-CN"/>
              </w:rPr>
              <w:t>0.89%</w:t>
            </w:r>
          </w:p>
        </w:tc>
        <w:tc>
          <w:tcPr>
            <w:tcW w:w="947" w:type="dxa"/>
          </w:tcPr>
          <w:p w14:paraId="61718F25">
            <w:pPr>
              <w:rPr>
                <w:rFonts w:hint="default"/>
                <w:vertAlign w:val="baseline"/>
                <w:lang w:val="en-US" w:eastAsia="zh-CN"/>
              </w:rPr>
            </w:pPr>
            <w:r>
              <w:rPr>
                <w:rFonts w:hint="eastAsia"/>
                <w:vertAlign w:val="baseline"/>
                <w:lang w:val="en-US" w:eastAsia="zh-CN"/>
              </w:rPr>
              <w:t>0.61%</w:t>
            </w:r>
          </w:p>
        </w:tc>
        <w:tc>
          <w:tcPr>
            <w:tcW w:w="947" w:type="dxa"/>
          </w:tcPr>
          <w:p w14:paraId="5FD20664">
            <w:pPr>
              <w:rPr>
                <w:rFonts w:hint="default"/>
                <w:vertAlign w:val="baseline"/>
                <w:lang w:val="en-US" w:eastAsia="zh-CN"/>
              </w:rPr>
            </w:pPr>
            <w:r>
              <w:rPr>
                <w:rFonts w:hint="eastAsia"/>
                <w:vertAlign w:val="baseline"/>
                <w:lang w:val="en-US" w:eastAsia="zh-CN"/>
              </w:rPr>
              <w:t>0.49%</w:t>
            </w:r>
          </w:p>
        </w:tc>
      </w:tr>
    </w:tbl>
    <w:p w14:paraId="33F8F4D6">
      <w:pPr>
        <w:rPr>
          <w:rFonts w:hint="default"/>
          <w:lang w:val="en-US" w:eastAsia="zh-CN"/>
        </w:rPr>
      </w:pPr>
      <w:r>
        <w:drawing>
          <wp:inline distT="0" distB="0" distL="114300" distR="114300">
            <wp:extent cx="4826000" cy="2743200"/>
            <wp:effectExtent l="4445" t="4445" r="8255" b="10795"/>
            <wp:docPr id="6" name="图表 5" descr="7b0a202020202263686172745265734964223a20223230343639313132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419FE14"/>
    <w:p w14:paraId="1022DF9A"/>
    <w:p w14:paraId="7ABB8CEA">
      <w:pPr>
        <w:numPr>
          <w:ilvl w:val="0"/>
          <w:numId w:val="1"/>
        </w:numPr>
        <w:rPr>
          <w:rFonts w:hint="eastAsia"/>
          <w:lang w:val="en-US" w:eastAsia="zh-CN"/>
        </w:rPr>
      </w:pPr>
      <w:r>
        <w:rPr>
          <w:rFonts w:hint="default"/>
          <w:lang w:val="en-US" w:eastAsia="zh-CN"/>
        </w:rPr>
        <w:t>不命中率随着cache容量的增加而降低</w:t>
      </w:r>
      <w:r>
        <w:rPr>
          <w:rFonts w:hint="eastAsia"/>
          <w:lang w:val="en-US" w:eastAsia="zh-CN"/>
        </w:rPr>
        <w:t>。</w:t>
      </w:r>
    </w:p>
    <w:p w14:paraId="08B219AE">
      <w:pPr>
        <w:pStyle w:val="3"/>
        <w:bidi w:val="0"/>
        <w:rPr>
          <w:rFonts w:hint="default"/>
          <w:lang w:val="en-US" w:eastAsia="zh-CN"/>
        </w:rPr>
      </w:pPr>
      <w:r>
        <w:rPr>
          <w:rFonts w:hint="default"/>
          <w:lang w:val="en-US" w:eastAsia="zh-CN"/>
        </w:rPr>
        <w:t>4.3.2 相联度对不命中率的影响</w:t>
      </w:r>
    </w:p>
    <w:p w14:paraId="2C4E180B">
      <w:pPr>
        <w:widowControl w:val="0"/>
        <w:numPr>
          <w:ilvl w:val="0"/>
          <w:numId w:val="0"/>
        </w:numPr>
        <w:jc w:val="both"/>
        <w:rPr>
          <w:rFonts w:hint="default"/>
          <w:lang w:val="en-US" w:eastAsia="zh-CN"/>
        </w:rPr>
      </w:pPr>
      <w:r>
        <w:rPr>
          <w:rFonts w:hint="default"/>
          <w:lang w:val="en-US" w:eastAsia="zh-CN"/>
        </w:rPr>
        <w:t>(1)单击“复位”按钮，把各参数设置为默认值。此时的Cache 容量为64KB。</w:t>
      </w:r>
    </w:p>
    <w:p w14:paraId="2A420F2E">
      <w:pPr>
        <w:widowControl w:val="0"/>
        <w:numPr>
          <w:ilvl w:val="0"/>
          <w:numId w:val="0"/>
        </w:numPr>
        <w:jc w:val="both"/>
        <w:rPr>
          <w:rFonts w:hint="default"/>
          <w:lang w:val="en-US" w:eastAsia="zh-CN"/>
        </w:rPr>
      </w:pPr>
      <w:r>
        <w:rPr>
          <w:rFonts w:hint="default"/>
          <w:lang w:val="en-US" w:eastAsia="zh-CN"/>
        </w:rPr>
        <w:t>(2)选择一个地址流文件。方法：选择“访问地址”→“地址流文件”选项，然后单击</w:t>
      </w:r>
    </w:p>
    <w:p w14:paraId="530E306C">
      <w:pPr>
        <w:widowControl w:val="0"/>
        <w:numPr>
          <w:ilvl w:val="0"/>
          <w:numId w:val="0"/>
        </w:numPr>
        <w:jc w:val="both"/>
        <w:rPr>
          <w:rFonts w:hint="default"/>
          <w:lang w:val="en-US" w:eastAsia="zh-CN"/>
        </w:rPr>
      </w:pPr>
      <w:r>
        <w:rPr>
          <w:rFonts w:hint="default"/>
          <w:lang w:val="en-US" w:eastAsia="zh-CN"/>
        </w:rPr>
        <w:t>“浏览”按钮，从本模拟器所在的文件夹下的“地址流”文件夹中选取。</w:t>
      </w:r>
    </w:p>
    <w:p w14:paraId="5DF24143">
      <w:pPr>
        <w:widowControl w:val="0"/>
        <w:numPr>
          <w:ilvl w:val="0"/>
          <w:numId w:val="0"/>
        </w:numPr>
        <w:jc w:val="both"/>
        <w:rPr>
          <w:rFonts w:hint="default"/>
          <w:lang w:val="en-US" w:eastAsia="zh-CN"/>
        </w:rPr>
      </w:pPr>
      <w:r>
        <w:rPr>
          <w:rFonts w:hint="default"/>
          <w:lang w:val="en-US" w:eastAsia="zh-CN"/>
        </w:rPr>
        <w:t>(3)选择不同的Cache 相联度，包括直接映象、2 路、4路、8路、16路、32 路，分别执行</w:t>
      </w:r>
    </w:p>
    <w:p w14:paraId="5B26172D">
      <w:pPr>
        <w:widowControl w:val="0"/>
        <w:numPr>
          <w:ilvl w:val="0"/>
          <w:numId w:val="0"/>
        </w:numPr>
        <w:jc w:val="both"/>
        <w:rPr>
          <w:rFonts w:hint="eastAsia"/>
          <w:lang w:val="en-US" w:eastAsia="zh-CN"/>
        </w:rPr>
      </w:pPr>
      <w:r>
        <w:rPr>
          <w:rFonts w:hint="default"/>
          <w:lang w:val="en-US" w:eastAsia="zh-CN"/>
        </w:rPr>
        <w:t>模拟器(单击“执行到底”按钮即可执行),然后在表4.2 中记录各种情况下的不命中率</w:t>
      </w:r>
      <w:r>
        <w:rPr>
          <w:rFonts w:hint="eastAsia"/>
          <w:lang w:val="en-US" w:eastAsia="zh-CN"/>
        </w:rPr>
        <w:t>。</w:t>
      </w:r>
    </w:p>
    <w:p w14:paraId="41BD438A">
      <w:pPr>
        <w:widowControl w:val="0"/>
        <w:numPr>
          <w:ilvl w:val="0"/>
          <w:numId w:val="0"/>
        </w:numPr>
        <w:jc w:val="both"/>
        <w:rPr>
          <w:rFonts w:hint="eastAsia"/>
          <w:lang w:val="en-US" w:eastAsia="zh-CN"/>
        </w:rPr>
      </w:pPr>
    </w:p>
    <w:tbl>
      <w:tblPr>
        <w:tblStyle w:val="6"/>
        <w:tblW w:w="8695" w:type="dxa"/>
        <w:tblInd w:w="1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49"/>
        <w:gridCol w:w="1008"/>
        <w:gridCol w:w="1008"/>
        <w:gridCol w:w="1008"/>
        <w:gridCol w:w="1008"/>
        <w:gridCol w:w="1008"/>
        <w:gridCol w:w="1008"/>
      </w:tblGrid>
      <w:tr w14:paraId="4D3D8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2649" w:type="dxa"/>
            <w:tcBorders>
              <w:top w:val="nil"/>
              <w:left w:val="nil"/>
              <w:bottom w:val="nil"/>
              <w:right w:val="nil"/>
            </w:tcBorders>
            <w:shd w:val="clear" w:color="auto" w:fill="auto"/>
            <w:noWrap/>
            <w:vAlign w:val="center"/>
          </w:tcPr>
          <w:p w14:paraId="04F477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相联度（容量为64KB）</w:t>
            </w:r>
          </w:p>
        </w:tc>
        <w:tc>
          <w:tcPr>
            <w:tcW w:w="1008" w:type="dxa"/>
            <w:tcBorders>
              <w:top w:val="nil"/>
              <w:left w:val="nil"/>
              <w:bottom w:val="nil"/>
              <w:right w:val="nil"/>
            </w:tcBorders>
            <w:shd w:val="clear" w:color="auto" w:fill="auto"/>
            <w:noWrap/>
            <w:vAlign w:val="center"/>
          </w:tcPr>
          <w:p w14:paraId="4DC141B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008" w:type="dxa"/>
            <w:tcBorders>
              <w:top w:val="nil"/>
              <w:left w:val="nil"/>
              <w:bottom w:val="nil"/>
              <w:right w:val="nil"/>
            </w:tcBorders>
            <w:shd w:val="clear" w:color="auto" w:fill="auto"/>
            <w:noWrap/>
            <w:vAlign w:val="center"/>
          </w:tcPr>
          <w:p w14:paraId="307A392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008" w:type="dxa"/>
            <w:tcBorders>
              <w:top w:val="nil"/>
              <w:left w:val="nil"/>
              <w:bottom w:val="nil"/>
              <w:right w:val="nil"/>
            </w:tcBorders>
            <w:shd w:val="clear" w:color="auto" w:fill="auto"/>
            <w:noWrap/>
            <w:vAlign w:val="center"/>
          </w:tcPr>
          <w:p w14:paraId="05D5055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008" w:type="dxa"/>
            <w:tcBorders>
              <w:top w:val="nil"/>
              <w:left w:val="nil"/>
              <w:bottom w:val="nil"/>
              <w:right w:val="nil"/>
            </w:tcBorders>
            <w:shd w:val="clear" w:color="auto" w:fill="auto"/>
            <w:noWrap/>
            <w:vAlign w:val="center"/>
          </w:tcPr>
          <w:p w14:paraId="7ADC8F6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008" w:type="dxa"/>
            <w:tcBorders>
              <w:top w:val="nil"/>
              <w:left w:val="nil"/>
              <w:bottom w:val="nil"/>
              <w:right w:val="nil"/>
            </w:tcBorders>
            <w:shd w:val="clear" w:color="auto" w:fill="auto"/>
            <w:noWrap/>
            <w:vAlign w:val="center"/>
          </w:tcPr>
          <w:p w14:paraId="654F231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1008" w:type="dxa"/>
            <w:tcBorders>
              <w:top w:val="nil"/>
              <w:left w:val="nil"/>
              <w:bottom w:val="nil"/>
              <w:right w:val="nil"/>
            </w:tcBorders>
            <w:shd w:val="clear" w:color="auto" w:fill="auto"/>
            <w:noWrap/>
            <w:vAlign w:val="center"/>
          </w:tcPr>
          <w:p w14:paraId="5C0C5D1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32</w:t>
            </w:r>
          </w:p>
        </w:tc>
      </w:tr>
      <w:tr w14:paraId="2C1D7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0" w:type="auto"/>
            <w:tcBorders>
              <w:top w:val="nil"/>
              <w:left w:val="nil"/>
              <w:bottom w:val="nil"/>
              <w:right w:val="nil"/>
            </w:tcBorders>
            <w:shd w:val="clear" w:color="auto" w:fill="auto"/>
            <w:noWrap/>
            <w:vAlign w:val="center"/>
          </w:tcPr>
          <w:p w14:paraId="155FD3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不命中率</w:t>
            </w:r>
          </w:p>
        </w:tc>
        <w:tc>
          <w:tcPr>
            <w:tcW w:w="0" w:type="auto"/>
            <w:tcBorders>
              <w:top w:val="nil"/>
              <w:left w:val="nil"/>
              <w:bottom w:val="nil"/>
              <w:right w:val="nil"/>
            </w:tcBorders>
            <w:shd w:val="clear" w:color="auto" w:fill="auto"/>
            <w:noWrap/>
            <w:vAlign w:val="center"/>
          </w:tcPr>
          <w:p w14:paraId="0362C54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0.87%</w:t>
            </w:r>
          </w:p>
        </w:tc>
        <w:tc>
          <w:tcPr>
            <w:tcW w:w="0" w:type="auto"/>
            <w:tcBorders>
              <w:top w:val="nil"/>
              <w:left w:val="nil"/>
              <w:bottom w:val="nil"/>
              <w:right w:val="nil"/>
            </w:tcBorders>
            <w:shd w:val="clear" w:color="auto" w:fill="auto"/>
            <w:noWrap/>
            <w:vAlign w:val="center"/>
          </w:tcPr>
          <w:p w14:paraId="6C50A22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0.53%</w:t>
            </w:r>
          </w:p>
        </w:tc>
        <w:tc>
          <w:tcPr>
            <w:tcW w:w="0" w:type="auto"/>
            <w:tcBorders>
              <w:top w:val="nil"/>
              <w:left w:val="nil"/>
              <w:bottom w:val="nil"/>
              <w:right w:val="nil"/>
            </w:tcBorders>
            <w:shd w:val="clear" w:color="auto" w:fill="auto"/>
            <w:noWrap/>
            <w:vAlign w:val="center"/>
          </w:tcPr>
          <w:p w14:paraId="3D77F26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0.47%</w:t>
            </w:r>
          </w:p>
        </w:tc>
        <w:tc>
          <w:tcPr>
            <w:tcW w:w="0" w:type="auto"/>
            <w:tcBorders>
              <w:top w:val="nil"/>
              <w:left w:val="nil"/>
              <w:bottom w:val="nil"/>
              <w:right w:val="nil"/>
            </w:tcBorders>
            <w:shd w:val="clear" w:color="auto" w:fill="auto"/>
            <w:noWrap/>
            <w:vAlign w:val="center"/>
          </w:tcPr>
          <w:p w14:paraId="6C30635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0.45%</w:t>
            </w:r>
          </w:p>
        </w:tc>
        <w:tc>
          <w:tcPr>
            <w:tcW w:w="0" w:type="auto"/>
            <w:tcBorders>
              <w:top w:val="nil"/>
              <w:left w:val="nil"/>
              <w:bottom w:val="nil"/>
              <w:right w:val="nil"/>
            </w:tcBorders>
            <w:shd w:val="clear" w:color="auto" w:fill="auto"/>
            <w:noWrap/>
            <w:vAlign w:val="center"/>
          </w:tcPr>
          <w:p w14:paraId="71B136F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0.44%</w:t>
            </w:r>
          </w:p>
        </w:tc>
        <w:tc>
          <w:tcPr>
            <w:tcW w:w="0" w:type="auto"/>
            <w:tcBorders>
              <w:top w:val="nil"/>
              <w:left w:val="nil"/>
              <w:bottom w:val="nil"/>
              <w:right w:val="nil"/>
            </w:tcBorders>
            <w:shd w:val="clear" w:color="auto" w:fill="auto"/>
            <w:noWrap/>
            <w:vAlign w:val="center"/>
          </w:tcPr>
          <w:p w14:paraId="0BDC477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0.44%</w:t>
            </w:r>
          </w:p>
        </w:tc>
      </w:tr>
    </w:tbl>
    <w:p w14:paraId="6295A4F6">
      <w:pPr>
        <w:widowControl w:val="0"/>
        <w:numPr>
          <w:ilvl w:val="0"/>
          <w:numId w:val="0"/>
        </w:numPr>
        <w:jc w:val="both"/>
        <w:rPr>
          <w:rFonts w:hint="eastAsia"/>
          <w:lang w:val="en-US" w:eastAsia="zh-CN"/>
        </w:rPr>
      </w:pPr>
      <w:r>
        <w:drawing>
          <wp:inline distT="0" distB="0" distL="114300" distR="114300">
            <wp:extent cx="4826000" cy="2743200"/>
            <wp:effectExtent l="4445" t="4445" r="8255" b="10795"/>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A705C1C">
      <w:pPr>
        <w:widowControl w:val="0"/>
        <w:numPr>
          <w:ilvl w:val="0"/>
          <w:numId w:val="0"/>
        </w:numPr>
        <w:jc w:val="both"/>
        <w:rPr>
          <w:rFonts w:hint="eastAsia"/>
          <w:lang w:val="en-US" w:eastAsia="zh-CN"/>
        </w:rPr>
      </w:pPr>
      <w:r>
        <w:rPr>
          <w:rFonts w:hint="eastAsia"/>
          <w:lang w:val="en-US" w:eastAsia="zh-CN"/>
        </w:rPr>
        <w:t>地址流文件名：all.din</w:t>
      </w:r>
    </w:p>
    <w:p w14:paraId="4404848D">
      <w:pPr>
        <w:widowControl w:val="0"/>
        <w:numPr>
          <w:ilvl w:val="0"/>
          <w:numId w:val="0"/>
        </w:numPr>
        <w:jc w:val="both"/>
        <w:rPr>
          <w:rFonts w:hint="eastAsia"/>
          <w:lang w:val="en-US" w:eastAsia="zh-CN"/>
        </w:rPr>
      </w:pPr>
    </w:p>
    <w:tbl>
      <w:tblPr>
        <w:tblStyle w:val="6"/>
        <w:tblW w:w="8695" w:type="dxa"/>
        <w:tblInd w:w="1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49"/>
        <w:gridCol w:w="1008"/>
        <w:gridCol w:w="1008"/>
        <w:gridCol w:w="1008"/>
        <w:gridCol w:w="1008"/>
        <w:gridCol w:w="1008"/>
        <w:gridCol w:w="1008"/>
      </w:tblGrid>
      <w:tr w14:paraId="31712DA9">
        <w:tblPrEx>
          <w:tblCellMar>
            <w:top w:w="0" w:type="dxa"/>
            <w:left w:w="108" w:type="dxa"/>
            <w:bottom w:w="0" w:type="dxa"/>
            <w:right w:w="108" w:type="dxa"/>
          </w:tblCellMar>
        </w:tblPrEx>
        <w:trPr>
          <w:trHeight w:val="282" w:hRule="atLeast"/>
        </w:trPr>
        <w:tc>
          <w:tcPr>
            <w:tcW w:w="2649" w:type="dxa"/>
            <w:tcBorders>
              <w:top w:val="nil"/>
              <w:left w:val="nil"/>
              <w:bottom w:val="nil"/>
              <w:right w:val="nil"/>
            </w:tcBorders>
            <w:shd w:val="clear" w:color="auto" w:fill="auto"/>
            <w:noWrap/>
            <w:vAlign w:val="center"/>
          </w:tcPr>
          <w:p w14:paraId="6602CF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相联度（容量为256KB）</w:t>
            </w:r>
          </w:p>
        </w:tc>
        <w:tc>
          <w:tcPr>
            <w:tcW w:w="1008" w:type="dxa"/>
            <w:tcBorders>
              <w:top w:val="nil"/>
              <w:left w:val="nil"/>
              <w:bottom w:val="nil"/>
              <w:right w:val="nil"/>
            </w:tcBorders>
            <w:shd w:val="clear" w:color="auto" w:fill="auto"/>
            <w:noWrap/>
            <w:vAlign w:val="center"/>
          </w:tcPr>
          <w:p w14:paraId="142EAE5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008" w:type="dxa"/>
            <w:tcBorders>
              <w:top w:val="nil"/>
              <w:left w:val="nil"/>
              <w:bottom w:val="nil"/>
              <w:right w:val="nil"/>
            </w:tcBorders>
            <w:shd w:val="clear" w:color="auto" w:fill="auto"/>
            <w:noWrap/>
            <w:vAlign w:val="center"/>
          </w:tcPr>
          <w:p w14:paraId="32FB800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008" w:type="dxa"/>
            <w:tcBorders>
              <w:top w:val="nil"/>
              <w:left w:val="nil"/>
              <w:bottom w:val="nil"/>
              <w:right w:val="nil"/>
            </w:tcBorders>
            <w:shd w:val="clear" w:color="auto" w:fill="auto"/>
            <w:noWrap/>
            <w:vAlign w:val="center"/>
          </w:tcPr>
          <w:p w14:paraId="3F9AA2D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008" w:type="dxa"/>
            <w:tcBorders>
              <w:top w:val="nil"/>
              <w:left w:val="nil"/>
              <w:bottom w:val="nil"/>
              <w:right w:val="nil"/>
            </w:tcBorders>
            <w:shd w:val="clear" w:color="auto" w:fill="auto"/>
            <w:noWrap/>
            <w:vAlign w:val="center"/>
          </w:tcPr>
          <w:p w14:paraId="1B0495F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008" w:type="dxa"/>
            <w:tcBorders>
              <w:top w:val="nil"/>
              <w:left w:val="nil"/>
              <w:bottom w:val="nil"/>
              <w:right w:val="nil"/>
            </w:tcBorders>
            <w:shd w:val="clear" w:color="auto" w:fill="auto"/>
            <w:noWrap/>
            <w:vAlign w:val="center"/>
          </w:tcPr>
          <w:p w14:paraId="3930451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1008" w:type="dxa"/>
            <w:tcBorders>
              <w:top w:val="nil"/>
              <w:left w:val="nil"/>
              <w:bottom w:val="nil"/>
              <w:right w:val="nil"/>
            </w:tcBorders>
            <w:shd w:val="clear" w:color="auto" w:fill="auto"/>
            <w:noWrap/>
            <w:vAlign w:val="center"/>
          </w:tcPr>
          <w:p w14:paraId="16CB515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32</w:t>
            </w:r>
          </w:p>
        </w:tc>
      </w:tr>
      <w:tr w14:paraId="4B148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0" w:type="auto"/>
            <w:tcBorders>
              <w:top w:val="nil"/>
              <w:left w:val="nil"/>
              <w:bottom w:val="nil"/>
              <w:right w:val="nil"/>
            </w:tcBorders>
            <w:shd w:val="clear" w:color="auto" w:fill="auto"/>
            <w:noWrap/>
            <w:vAlign w:val="center"/>
          </w:tcPr>
          <w:p w14:paraId="08DDD5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不命中率</w:t>
            </w:r>
          </w:p>
        </w:tc>
        <w:tc>
          <w:tcPr>
            <w:tcW w:w="0" w:type="auto"/>
            <w:tcBorders>
              <w:top w:val="nil"/>
              <w:left w:val="nil"/>
              <w:bottom w:val="nil"/>
              <w:right w:val="nil"/>
            </w:tcBorders>
            <w:shd w:val="clear" w:color="auto" w:fill="auto"/>
            <w:noWrap/>
            <w:vAlign w:val="center"/>
          </w:tcPr>
          <w:p w14:paraId="1512320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0.49%</w:t>
            </w:r>
          </w:p>
        </w:tc>
        <w:tc>
          <w:tcPr>
            <w:tcW w:w="0" w:type="auto"/>
            <w:tcBorders>
              <w:top w:val="nil"/>
              <w:left w:val="nil"/>
              <w:bottom w:val="nil"/>
              <w:right w:val="nil"/>
            </w:tcBorders>
            <w:shd w:val="clear" w:color="auto" w:fill="auto"/>
            <w:noWrap/>
            <w:vAlign w:val="center"/>
          </w:tcPr>
          <w:p w14:paraId="6C5A3F40">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0.48%</w:t>
            </w:r>
          </w:p>
        </w:tc>
        <w:tc>
          <w:tcPr>
            <w:tcW w:w="0" w:type="auto"/>
            <w:tcBorders>
              <w:top w:val="nil"/>
              <w:left w:val="nil"/>
              <w:bottom w:val="nil"/>
              <w:right w:val="nil"/>
            </w:tcBorders>
            <w:shd w:val="clear" w:color="auto" w:fill="auto"/>
            <w:noWrap/>
            <w:vAlign w:val="center"/>
          </w:tcPr>
          <w:p w14:paraId="2D69F3C0">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0.38%</w:t>
            </w:r>
          </w:p>
        </w:tc>
        <w:tc>
          <w:tcPr>
            <w:tcW w:w="0" w:type="auto"/>
            <w:tcBorders>
              <w:top w:val="nil"/>
              <w:left w:val="nil"/>
              <w:bottom w:val="nil"/>
              <w:right w:val="nil"/>
            </w:tcBorders>
            <w:shd w:val="clear" w:color="auto" w:fill="auto"/>
            <w:noWrap/>
            <w:vAlign w:val="center"/>
          </w:tcPr>
          <w:p w14:paraId="7C97FB03">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0.36%</w:t>
            </w:r>
          </w:p>
        </w:tc>
        <w:tc>
          <w:tcPr>
            <w:tcW w:w="0" w:type="auto"/>
            <w:tcBorders>
              <w:top w:val="nil"/>
              <w:left w:val="nil"/>
              <w:bottom w:val="nil"/>
              <w:right w:val="nil"/>
            </w:tcBorders>
            <w:shd w:val="clear" w:color="auto" w:fill="auto"/>
            <w:noWrap/>
            <w:vAlign w:val="center"/>
          </w:tcPr>
          <w:p w14:paraId="11B7B3C3">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0.35%</w:t>
            </w:r>
          </w:p>
        </w:tc>
        <w:tc>
          <w:tcPr>
            <w:tcW w:w="0" w:type="auto"/>
            <w:tcBorders>
              <w:top w:val="nil"/>
              <w:left w:val="nil"/>
              <w:bottom w:val="nil"/>
              <w:right w:val="nil"/>
            </w:tcBorders>
            <w:shd w:val="clear" w:color="auto" w:fill="auto"/>
            <w:noWrap/>
            <w:vAlign w:val="center"/>
          </w:tcPr>
          <w:p w14:paraId="2E2E9B4A">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0.35%</w:t>
            </w:r>
          </w:p>
        </w:tc>
      </w:tr>
    </w:tbl>
    <w:p w14:paraId="104A3394">
      <w:pPr>
        <w:widowControl w:val="0"/>
        <w:numPr>
          <w:ilvl w:val="0"/>
          <w:numId w:val="0"/>
        </w:numPr>
        <w:jc w:val="both"/>
        <w:rPr>
          <w:rFonts w:hint="eastAsia"/>
          <w:lang w:val="en-US" w:eastAsia="zh-CN"/>
        </w:rPr>
      </w:pPr>
      <w:r>
        <w:drawing>
          <wp:inline distT="0" distB="0" distL="114300" distR="114300">
            <wp:extent cx="4826000" cy="2743200"/>
            <wp:effectExtent l="4445" t="4445" r="8255" b="26035"/>
            <wp:docPr id="7" name="图表 6" descr="7b0a202020202263686172745265734964223a20223230343731343133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FF61DC6">
      <w:pPr>
        <w:widowControl w:val="0"/>
        <w:numPr>
          <w:ilvl w:val="0"/>
          <w:numId w:val="0"/>
        </w:numPr>
        <w:jc w:val="both"/>
        <w:rPr>
          <w:rFonts w:hint="eastAsia"/>
          <w:lang w:val="en-US" w:eastAsia="zh-CN"/>
        </w:rPr>
      </w:pPr>
    </w:p>
    <w:p w14:paraId="10F80CB0">
      <w:pPr>
        <w:pStyle w:val="3"/>
        <w:bidi w:val="0"/>
        <w:rPr>
          <w:rFonts w:hint="eastAsia"/>
          <w:lang w:val="en-US" w:eastAsia="zh-CN"/>
        </w:rPr>
      </w:pPr>
      <w:r>
        <w:rPr>
          <w:rFonts w:hint="eastAsia"/>
          <w:lang w:val="en-US" w:eastAsia="zh-CN"/>
        </w:rPr>
        <w:t>4.3.3 Cache块大小对不命中率的影响</w:t>
      </w:r>
    </w:p>
    <w:p w14:paraId="0E3C57F9">
      <w:pPr>
        <w:widowControl w:val="0"/>
        <w:numPr>
          <w:ilvl w:val="0"/>
          <w:numId w:val="0"/>
        </w:numPr>
        <w:jc w:val="both"/>
        <w:rPr>
          <w:rFonts w:hint="eastAsia"/>
          <w:lang w:val="en-US" w:eastAsia="zh-CN"/>
        </w:rPr>
      </w:pPr>
      <w:r>
        <w:rPr>
          <w:rFonts w:hint="eastAsia"/>
          <w:lang w:val="en-US" w:eastAsia="zh-CN"/>
        </w:rPr>
        <w:t>（1）使用复位按钮，将数据设置为默认值。</w:t>
      </w:r>
    </w:p>
    <w:p w14:paraId="57A070B0">
      <w:pPr>
        <w:widowControl w:val="0"/>
        <w:numPr>
          <w:ilvl w:val="0"/>
          <w:numId w:val="0"/>
        </w:numPr>
        <w:jc w:val="both"/>
        <w:rPr>
          <w:rFonts w:hint="eastAsia"/>
          <w:lang w:val="en-US" w:eastAsia="zh-CN"/>
        </w:rPr>
      </w:pPr>
      <w:r>
        <w:rPr>
          <w:rFonts w:hint="eastAsia"/>
          <w:lang w:val="en-US" w:eastAsia="zh-CN"/>
        </w:rPr>
        <w:t>（2）选择“访问地址”→“地选流文件”，然后单击浏览一下地址流文件，从本软件所在的“地址流”文件夹中选取。</w:t>
      </w:r>
    </w:p>
    <w:p w14:paraId="189886E0">
      <w:pPr>
        <w:widowControl w:val="0"/>
        <w:numPr>
          <w:ilvl w:val="0"/>
          <w:numId w:val="0"/>
        </w:numPr>
        <w:jc w:val="both"/>
        <w:rPr>
          <w:rFonts w:hint="eastAsia"/>
          <w:lang w:val="en-US" w:eastAsia="zh-CN"/>
        </w:rPr>
      </w:pPr>
      <w:r>
        <w:rPr>
          <w:rFonts w:hint="eastAsia"/>
          <w:lang w:val="en-US" w:eastAsia="zh-CN"/>
        </w:rPr>
        <w:t>（3）选择包括2KB、8KB、32KB、128KB、512KB,分别执行。</w:t>
      </w:r>
    </w:p>
    <w:p w14:paraId="327A47CF">
      <w:pPr>
        <w:rPr>
          <w:szCs w:val="21"/>
        </w:rPr>
      </w:pPr>
      <w:r>
        <w:rPr>
          <w:szCs w:val="21"/>
        </w:rPr>
        <w:drawing>
          <wp:inline distT="0" distB="0" distL="0" distR="0">
            <wp:extent cx="5274310" cy="1374140"/>
            <wp:effectExtent l="0" t="0" r="6350" b="5080"/>
            <wp:docPr id="1594884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4771" name="图片 1"/>
                    <pic:cNvPicPr>
                      <a:picLocks noChangeAspect="1"/>
                    </pic:cNvPicPr>
                  </pic:nvPicPr>
                  <pic:blipFill>
                    <a:blip r:embed="rId7"/>
                    <a:stretch>
                      <a:fillRect/>
                    </a:stretch>
                  </pic:blipFill>
                  <pic:spPr>
                    <a:xfrm>
                      <a:off x="0" y="0"/>
                      <a:ext cx="5274310" cy="1374140"/>
                    </a:xfrm>
                    <a:prstGeom prst="rect">
                      <a:avLst/>
                    </a:prstGeom>
                  </pic:spPr>
                </pic:pic>
              </a:graphicData>
            </a:graphic>
          </wp:inline>
        </w:drawing>
      </w:r>
    </w:p>
    <w:p w14:paraId="2B47C752">
      <w:pPr>
        <w:pStyle w:val="3"/>
        <w:bidi w:val="0"/>
      </w:pPr>
      <w:r>
        <w:rPr>
          <w:rFonts w:hint="eastAsia"/>
        </w:rPr>
        <w:t>4.3.4替换算法对不命中率的影响</w:t>
      </w:r>
    </w:p>
    <w:p w14:paraId="7E068929">
      <w:pPr>
        <w:rPr>
          <w:rFonts w:hint="eastAsia"/>
          <w:szCs w:val="21"/>
        </w:rPr>
      </w:pPr>
      <w:r>
        <w:rPr>
          <w:rFonts w:hint="eastAsia"/>
          <w:szCs w:val="21"/>
        </w:rPr>
        <w:t>(1)单击“复位”按钮，把各参数设置为默认值。</w:t>
      </w:r>
    </w:p>
    <w:p w14:paraId="2D99F23F">
      <w:pPr>
        <w:rPr>
          <w:rFonts w:hint="eastAsia"/>
          <w:szCs w:val="21"/>
        </w:rPr>
      </w:pPr>
      <w:r>
        <w:rPr>
          <w:rFonts w:hint="eastAsia"/>
          <w:szCs w:val="21"/>
        </w:rPr>
        <w:t>(2)选择一个地址流文件。方法：选择“访问地址”一“地址流文件”选项，然后单击</w:t>
      </w:r>
    </w:p>
    <w:p w14:paraId="3E27E767">
      <w:pPr>
        <w:rPr>
          <w:rFonts w:hint="eastAsia"/>
          <w:szCs w:val="21"/>
        </w:rPr>
      </w:pPr>
      <w:r>
        <w:rPr>
          <w:rFonts w:hint="eastAsia"/>
          <w:szCs w:val="21"/>
        </w:rPr>
        <w:t>“浏览”按钮，从本模拟器所在的文件夹下的“地址流”文件夹中选取。</w:t>
      </w:r>
    </w:p>
    <w:p w14:paraId="7832F941">
      <w:pPr>
        <w:rPr>
          <w:rFonts w:hint="eastAsia"/>
          <w:szCs w:val="21"/>
        </w:rPr>
      </w:pPr>
      <w:r>
        <w:rPr>
          <w:rFonts w:hint="eastAsia"/>
          <w:szCs w:val="21"/>
        </w:rPr>
        <w:t>(3可对行不同的替换算法、Cache容量和相联度，分别执行模拟器(单击“执行到底</w:t>
      </w:r>
    </w:p>
    <w:p w14:paraId="628A77AF">
      <w:pPr>
        <w:rPr>
          <w:szCs w:val="21"/>
        </w:rPr>
      </w:pPr>
      <w:r>
        <w:rPr>
          <w:rFonts w:hint="eastAsia"/>
          <w:szCs w:val="21"/>
        </w:rPr>
        <w:t>按钮即可执行),然后在表4.5中记录各种情况下的不命中率。</w:t>
      </w:r>
    </w:p>
    <w:p w14:paraId="3B740A08">
      <w:pPr>
        <w:rPr>
          <w:rFonts w:hint="eastAsia"/>
          <w:szCs w:val="21"/>
        </w:rPr>
      </w:pPr>
      <w:r>
        <w:rPr>
          <w:szCs w:val="21"/>
        </w:rPr>
        <w:drawing>
          <wp:inline distT="0" distB="0" distL="0" distR="0">
            <wp:extent cx="5274310" cy="1307465"/>
            <wp:effectExtent l="0" t="0" r="0" b="0"/>
            <wp:docPr id="2127281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81344" name="图片 1"/>
                    <pic:cNvPicPr>
                      <a:picLocks noChangeAspect="1"/>
                    </pic:cNvPicPr>
                  </pic:nvPicPr>
                  <pic:blipFill>
                    <a:blip r:embed="rId8"/>
                    <a:stretch>
                      <a:fillRect/>
                    </a:stretch>
                  </pic:blipFill>
                  <pic:spPr>
                    <a:xfrm>
                      <a:off x="0" y="0"/>
                      <a:ext cx="5274310" cy="1307465"/>
                    </a:xfrm>
                    <a:prstGeom prst="rect">
                      <a:avLst/>
                    </a:prstGeom>
                  </pic:spPr>
                </pic:pic>
              </a:graphicData>
            </a:graphic>
          </wp:inline>
        </w:drawing>
      </w:r>
    </w:p>
    <w:p w14:paraId="1031828C">
      <w:pPr>
        <w:rPr>
          <w:szCs w:val="21"/>
        </w:rPr>
      </w:pPr>
    </w:p>
    <w:p w14:paraId="7BEF03AB">
      <w:pPr>
        <w:widowControl w:val="0"/>
        <w:numPr>
          <w:ilvl w:val="0"/>
          <w:numId w:val="0"/>
        </w:numPr>
        <w:jc w:val="both"/>
        <w:rPr>
          <w:rFonts w:hint="eastAsia"/>
          <w:lang w:val="en-US" w:eastAsia="zh-CN"/>
        </w:rPr>
      </w:pPr>
    </w:p>
    <w:p w14:paraId="33F64538">
      <w:pPr>
        <w:pStyle w:val="2"/>
        <w:rPr>
          <w:rFonts w:hint="eastAsia"/>
        </w:rPr>
      </w:pPr>
      <w:r>
        <w:rPr>
          <w:rFonts w:hint="eastAsia"/>
        </w:rPr>
        <w:t>3实验方法和结果分析：</w:t>
      </w:r>
    </w:p>
    <w:p w14:paraId="23327620">
      <w:pPr>
        <w:rPr>
          <w:rFonts w:hint="eastAsia"/>
        </w:rPr>
      </w:pPr>
      <w:r>
        <w:rPr>
          <w:rFonts w:hint="eastAsia"/>
        </w:rPr>
        <w:t>通过对MyCache模拟器的应用，我们针对all.din地址流文件进行了详尽的实验。在这些实验中，我们调整了多个因素来研究它们对缓存未命中的影响，包括但不限于缓存容量、相联度（即每个组内的行数）、所采用的替换算法以及块大小。</w:t>
      </w:r>
    </w:p>
    <w:p w14:paraId="790CFEDB">
      <w:pPr>
        <w:rPr>
          <w:rFonts w:hint="eastAsia"/>
        </w:rPr>
      </w:pPr>
    </w:p>
    <w:p w14:paraId="4C39B67D">
      <w:pPr>
        <w:rPr>
          <w:rFonts w:hint="eastAsia"/>
        </w:rPr>
      </w:pPr>
      <w:r>
        <w:rPr>
          <w:rFonts w:hint="eastAsia"/>
        </w:rPr>
        <w:t>实验结果表明，在一定范围内增加缓存容量、提高相联度或增大块尺寸都可以有效地降低不命中率。这是因为更大的缓存容量可以存储更多的数据副本；更高的相联度意味着在发生未命中的情况下，有更多机会找到一个合适的行来进行替换；而较大的块尺寸则能减少由于频繁访问相邻地址而导致的额外不命中的情况。</w:t>
      </w:r>
    </w:p>
    <w:p w14:paraId="6AD6F983">
      <w:pPr>
        <w:rPr>
          <w:rFonts w:hint="eastAsia"/>
        </w:rPr>
      </w:pPr>
    </w:p>
    <w:p w14:paraId="6A1BDA84">
      <w:pPr>
        <w:rPr>
          <w:rFonts w:hint="eastAsia"/>
        </w:rPr>
      </w:pPr>
      <w:r>
        <w:rPr>
          <w:rFonts w:hint="eastAsia"/>
        </w:rPr>
        <w:t>然而，值得注意的是，在实际应用中这些因素之间往往存在权衡。例如，增加缓存容量或提升相联度会直接导致成本上升和功耗增加；同样地，虽然增大块大小有助于降低未命中率，但这也可能带来较高的浪费空间风险（即部分数据块中的部分内容被频繁访问而其他部分则很少被使用），从而影响整体性能。</w:t>
      </w:r>
    </w:p>
    <w:p w14:paraId="2BA8955A">
      <w:pPr>
        <w:rPr>
          <w:rFonts w:hint="eastAsia"/>
        </w:rPr>
      </w:pPr>
    </w:p>
    <w:p w14:paraId="31FE9234">
      <w:r>
        <w:rPr>
          <w:rFonts w:hint="eastAsia"/>
        </w:rPr>
        <w:t>为了更全面地理解这些因素之间的相互作用及其对系统性能的具体影响，在进行实验时还需要考虑更多变量，并且要结合具体应用场景来综合分析最优配置。</w:t>
      </w:r>
    </w:p>
    <w:p w14:paraId="4D426E54">
      <w:pPr>
        <w:pStyle w:val="2"/>
      </w:pPr>
      <w:r>
        <w:t>4</w:t>
      </w:r>
      <w:r>
        <w:rPr>
          <w:rFonts w:hint="eastAsia"/>
        </w:rPr>
        <w:t>实验收获和感想：</w:t>
      </w:r>
    </w:p>
    <w:p w14:paraId="2BDD76DF">
      <w:pPr>
        <w:rPr>
          <w:rFonts w:hint="eastAsia"/>
        </w:rPr>
      </w:pPr>
      <w:r>
        <w:rPr>
          <w:rFonts w:hint="eastAsia"/>
        </w:rPr>
        <w:t>通过本次实验，我深化了对缓存（Cache）基本概念、组织结构及工作原理的理解。掌握了不同因素如缓存容量、相联度和块大小如何影响缓存性能。此外，我还学会了多种降低不命中率的方法及其在提高缓存性能方面的好处。同时，进一步理解了最近最少使用算法（LRU）与随机替换策略的基本思想，并认识到它们对缓存性能的影响。</w:t>
      </w:r>
    </w:p>
    <w:p w14:paraId="5C9F406A">
      <w:pPr>
        <w:rPr>
          <w:rFonts w:hint="eastAsia"/>
        </w:rPr>
      </w:pPr>
    </w:p>
    <w:p w14:paraId="5D600776">
      <w:r>
        <w:rPr>
          <w:rFonts w:hint="eastAsia"/>
        </w:rPr>
        <w:t>这次实验不仅增强了我对这些理论知识的理解，还提升了我实际操作和分析问题的能力。</w:t>
      </w:r>
    </w:p>
    <w:p w14:paraId="19375435"/>
    <w:p w14:paraId="1A2A4C7E">
      <w:r>
        <w:rPr>
          <w:rFonts w:hint="eastAsia"/>
        </w:rPr>
        <w:t>（本报告内容到此结束）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FD7FCB"/>
    <w:multiLevelType w:val="singleLevel"/>
    <w:tmpl w:val="0FFD7FCB"/>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GRlMzE1NmU5NGVjNjg2MzIyYjQyMTM1ZjkxNWYxOTEifQ=="/>
  </w:docVars>
  <w:rsids>
    <w:rsidRoot w:val="00172A27"/>
    <w:rsid w:val="000C45D3"/>
    <w:rsid w:val="000E4921"/>
    <w:rsid w:val="00100482"/>
    <w:rsid w:val="001725D4"/>
    <w:rsid w:val="001E6D13"/>
    <w:rsid w:val="002630CE"/>
    <w:rsid w:val="002F50CC"/>
    <w:rsid w:val="00317EDF"/>
    <w:rsid w:val="00342A4A"/>
    <w:rsid w:val="00364AB8"/>
    <w:rsid w:val="00373BD7"/>
    <w:rsid w:val="00384FEC"/>
    <w:rsid w:val="003E2C29"/>
    <w:rsid w:val="003E5A14"/>
    <w:rsid w:val="00404ACC"/>
    <w:rsid w:val="00464E65"/>
    <w:rsid w:val="00470C26"/>
    <w:rsid w:val="004E15C0"/>
    <w:rsid w:val="005C273F"/>
    <w:rsid w:val="0064102F"/>
    <w:rsid w:val="006775B7"/>
    <w:rsid w:val="00695321"/>
    <w:rsid w:val="006A74C7"/>
    <w:rsid w:val="006D4AE2"/>
    <w:rsid w:val="006E59FA"/>
    <w:rsid w:val="006F2B8E"/>
    <w:rsid w:val="007E35B2"/>
    <w:rsid w:val="007F37E0"/>
    <w:rsid w:val="00864F35"/>
    <w:rsid w:val="008D32C3"/>
    <w:rsid w:val="009618B3"/>
    <w:rsid w:val="009A2F74"/>
    <w:rsid w:val="00A874ED"/>
    <w:rsid w:val="00AE1278"/>
    <w:rsid w:val="00B249D2"/>
    <w:rsid w:val="00B609E9"/>
    <w:rsid w:val="00B7439A"/>
    <w:rsid w:val="00BB2BB3"/>
    <w:rsid w:val="00C3760A"/>
    <w:rsid w:val="00C4280B"/>
    <w:rsid w:val="00C61377"/>
    <w:rsid w:val="00C934A9"/>
    <w:rsid w:val="00D41857"/>
    <w:rsid w:val="00DA1EB4"/>
    <w:rsid w:val="00DA4563"/>
    <w:rsid w:val="00DB21C1"/>
    <w:rsid w:val="00DF0BC9"/>
    <w:rsid w:val="00E0106F"/>
    <w:rsid w:val="00E16883"/>
    <w:rsid w:val="00E1724C"/>
    <w:rsid w:val="00E75AF6"/>
    <w:rsid w:val="00E83AA6"/>
    <w:rsid w:val="00F23EFC"/>
    <w:rsid w:val="00F52C38"/>
    <w:rsid w:val="412D1FB1"/>
    <w:rsid w:val="42AF71DE"/>
    <w:rsid w:val="5CE27CB2"/>
    <w:rsid w:val="6FD23581"/>
    <w:rsid w:val="6FD42F5A"/>
    <w:rsid w:val="7C8D0F4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2"/>
    <w:semiHidden/>
    <w:unhideWhenUsed/>
    <w:qFormat/>
    <w:uiPriority w:val="99"/>
    <w:pPr>
      <w:tabs>
        <w:tab w:val="center" w:pos="4153"/>
        <w:tab w:val="right" w:pos="8306"/>
      </w:tabs>
      <w:snapToGrid w:val="0"/>
      <w:jc w:val="left"/>
    </w:pPr>
    <w:rPr>
      <w:sz w:val="18"/>
      <w:szCs w:val="18"/>
    </w:rPr>
  </w:style>
  <w:style w:type="paragraph" w:styleId="5">
    <w:name w:val="header"/>
    <w:basedOn w:val="1"/>
    <w:link w:val="11"/>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2 Char"/>
    <w:basedOn w:val="8"/>
    <w:link w:val="3"/>
    <w:qFormat/>
    <w:uiPriority w:val="9"/>
    <w:rPr>
      <w:rFonts w:asciiTheme="majorHAnsi" w:hAnsiTheme="majorHAnsi" w:eastAsiaTheme="majorEastAsia" w:cstheme="majorBidi"/>
      <w:b/>
      <w:bCs/>
      <w:sz w:val="32"/>
      <w:szCs w:val="32"/>
    </w:rPr>
  </w:style>
  <w:style w:type="character" w:customStyle="1" w:styleId="10">
    <w:name w:val="标题 1 Char"/>
    <w:basedOn w:val="8"/>
    <w:link w:val="2"/>
    <w:qFormat/>
    <w:uiPriority w:val="9"/>
    <w:rPr>
      <w:b/>
      <w:bCs/>
      <w:kern w:val="44"/>
      <w:sz w:val="44"/>
      <w:szCs w:val="44"/>
    </w:rPr>
  </w:style>
  <w:style w:type="character" w:customStyle="1" w:styleId="11">
    <w:name w:val="页眉 Char"/>
    <w:basedOn w:val="8"/>
    <w:link w:val="5"/>
    <w:semiHidden/>
    <w:qFormat/>
    <w:uiPriority w:val="99"/>
    <w:rPr>
      <w:sz w:val="18"/>
      <w:szCs w:val="18"/>
    </w:rPr>
  </w:style>
  <w:style w:type="character" w:customStyle="1" w:styleId="12">
    <w:name w:val="页脚 Char"/>
    <w:basedOn w:val="8"/>
    <w:link w:val="4"/>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a:defRPr lang="zh-CN" sz="1400" b="1"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zh-CN" altLang="en-US"/>
              <a:t>标题</a:t>
            </a:r>
            <a:endParaRPr lang="zh-CN" altLang="en-US"/>
          </a:p>
        </c:rich>
      </c:tx>
      <c:layout/>
      <c:overlay val="0"/>
      <c:spPr>
        <a:noFill/>
        <a:ln>
          <a:noFill/>
        </a:ln>
        <a:effectLst/>
      </c:spPr>
    </c:title>
    <c:autoTitleDeleted val="0"/>
    <c:plotArea>
      <c:layout>
        <c:manualLayout>
          <c:layoutTarget val="inner"/>
          <c:xMode val="edge"/>
          <c:yMode val="edge"/>
          <c:x val="0.114752421277703"/>
          <c:y val="0.264220064002382"/>
          <c:w val="0.801870907390084"/>
          <c:h val="0.590399642777406"/>
        </c:manualLayout>
      </c:layout>
      <c:lineChart>
        <c:grouping val="standard"/>
        <c:varyColors val="0"/>
        <c:ser>
          <c:idx val="0"/>
          <c:order val="0"/>
          <c:tx>
            <c:strRef>
              <c:f>[工作簿1]Sheet1!$C$1</c:f>
              <c:strCache>
                <c:ptCount val="1"/>
                <c:pt idx="0">
                  <c:v>不命中率</c:v>
                </c:pt>
              </c:strCache>
            </c:strRef>
          </c:tx>
          <c:spPr>
            <a:ln w="38100" cap="rnd" cmpd="dbl">
              <a:solidFill>
                <a:schemeClr val="accent1"/>
              </a:solidFill>
              <a:round/>
              <a:headEnd type="none"/>
              <a:tailEnd type="none"/>
            </a:ln>
            <a:effectLst/>
          </c:spPr>
          <c:marker>
            <c:symbol val="none"/>
          </c:marker>
          <c:dLbls>
            <c:delete val="1"/>
          </c:dLbls>
          <c:val>
            <c:numRef>
              <c:f>[工作簿1]Sheet1!$C$2:$C$9</c:f>
              <c:numCache>
                <c:formatCode>0.00%</c:formatCode>
                <c:ptCount val="8"/>
                <c:pt idx="0">
                  <c:v>0.0987</c:v>
                </c:pt>
                <c:pt idx="1">
                  <c:v>0.0719</c:v>
                </c:pt>
                <c:pt idx="2">
                  <c:v>0.0448</c:v>
                </c:pt>
                <c:pt idx="3">
                  <c:v>0.0265</c:v>
                </c:pt>
                <c:pt idx="4">
                  <c:v>0.0142</c:v>
                </c:pt>
                <c:pt idx="5">
                  <c:v>0.0089</c:v>
                </c:pt>
                <c:pt idx="6">
                  <c:v>0.0061</c:v>
                </c:pt>
                <c:pt idx="7">
                  <c:v>0.0049</c:v>
                </c:pt>
              </c:numCache>
            </c:numRef>
          </c:val>
          <c:smooth val="1"/>
        </c:ser>
        <c:dLbls>
          <c:showLegendKey val="0"/>
          <c:showVal val="0"/>
          <c:showCatName val="0"/>
          <c:showSerName val="0"/>
          <c:showPercent val="0"/>
          <c:showBubbleSize val="0"/>
        </c:dLbls>
        <c:marker val="0"/>
        <c:smooth val="1"/>
        <c:axId val="554109669"/>
        <c:axId val="204521974"/>
      </c:lineChart>
      <c:catAx>
        <c:axId val="554109669"/>
        <c:scaling>
          <c:orientation val="minMax"/>
        </c:scaling>
        <c:delete val="0"/>
        <c:axPos val="b"/>
        <c:numFmt formatCode="General" sourceLinked="1"/>
        <c:majorTickMark val="none"/>
        <c:minorTickMark val="none"/>
        <c:tickLblPos val="nextTo"/>
        <c:spPr>
          <a:noFill/>
          <a:ln w="1270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204521974"/>
        <c:crosses val="autoZero"/>
        <c:auto val="1"/>
        <c:lblAlgn val="ctr"/>
        <c:lblOffset val="100"/>
        <c:noMultiLvlLbl val="0"/>
      </c:catAx>
      <c:valAx>
        <c:axId val="204521974"/>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Arial" panose="020B0604020202020204" pitchFamily="7" charset="0"/>
                <a:ea typeface="Arial" panose="020B0604020202020204" pitchFamily="7" charset="0"/>
                <a:cs typeface="Arial" panose="020B0604020202020204" pitchFamily="7" charset="0"/>
                <a:sym typeface="Arial" panose="020B0604020202020204" pitchFamily="7" charset="0"/>
              </a:defRPr>
            </a:pPr>
          </a:p>
        </c:txPr>
        <c:crossAx val="55410966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manualLayout>
          <c:layoutTarget val="inner"/>
          <c:xMode val="edge"/>
          <c:yMode val="edge"/>
          <c:x val="0.246217894736842"/>
          <c:y val="0.175694444444444"/>
          <c:w val="0.724834736842105"/>
          <c:h val="0.532777777777778"/>
        </c:manualLayout>
      </c:layout>
      <c:lineChart>
        <c:grouping val="standard"/>
        <c:varyColors val="0"/>
        <c:ser>
          <c:idx val="0"/>
          <c:order val="0"/>
          <c:tx>
            <c:strRef>
              <c:f>[工作簿1]Sheet1!$B$1</c:f>
              <c:strCache>
                <c:ptCount val="1"/>
                <c:pt idx="0">
                  <c:v>不命中率(%)</c:v>
                </c:pt>
              </c:strCache>
            </c:strRef>
          </c:tx>
          <c:spPr>
            <a:ln w="28575" cap="rnd">
              <a:solidFill>
                <a:schemeClr val="accent1"/>
              </a:solidFill>
              <a:round/>
            </a:ln>
            <a:effectLst/>
          </c:spPr>
          <c:marker>
            <c:symbol val="none"/>
          </c:marker>
          <c:dLbls>
            <c:delete val="1"/>
          </c:dLbls>
          <c:val>
            <c:numRef>
              <c:f>[工作簿1]Sheet1!$B$2:$B$7</c:f>
              <c:numCache>
                <c:formatCode>0.00%</c:formatCode>
                <c:ptCount val="6"/>
                <c:pt idx="0">
                  <c:v>0.0087</c:v>
                </c:pt>
                <c:pt idx="1">
                  <c:v>0.0053</c:v>
                </c:pt>
                <c:pt idx="2">
                  <c:v>0.0047</c:v>
                </c:pt>
                <c:pt idx="3">
                  <c:v>0.0045</c:v>
                </c:pt>
                <c:pt idx="4">
                  <c:v>0.0044</c:v>
                </c:pt>
                <c:pt idx="5">
                  <c:v>0.0044</c:v>
                </c:pt>
              </c:numCache>
            </c:numRef>
          </c:val>
          <c:smooth val="0"/>
        </c:ser>
        <c:dLbls>
          <c:showLegendKey val="0"/>
          <c:showVal val="0"/>
          <c:showCatName val="0"/>
          <c:showSerName val="0"/>
          <c:showPercent val="0"/>
          <c:showBubbleSize val="0"/>
        </c:dLbls>
        <c:marker val="0"/>
        <c:smooth val="0"/>
        <c:axId val="426046436"/>
        <c:axId val="714464178"/>
      </c:lineChart>
      <c:catAx>
        <c:axId val="4260464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4464178"/>
        <c:crosses val="autoZero"/>
        <c:auto val="1"/>
        <c:lblAlgn val="ctr"/>
        <c:lblOffset val="100"/>
        <c:noMultiLvlLbl val="0"/>
      </c:catAx>
      <c:valAx>
        <c:axId val="714464178"/>
        <c:scaling>
          <c:orientation val="minMax"/>
        </c:scaling>
        <c:delete val="0"/>
        <c:axPos val="l"/>
        <c:majorGridlines>
          <c:spPr>
            <a:ln w="9525" cap="flat" cmpd="sng" algn="ctr">
              <a:solidFill>
                <a:schemeClr val="lt1">
                  <a:lumMod val="90200"/>
                </a:scheme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604643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zh-CN" altLang="en-US"/>
              <a:t>标题</a:t>
            </a:r>
            <a:endParaRPr lang="zh-CN" altLang="en-US"/>
          </a:p>
        </c:rich>
      </c:tx>
      <c:layout/>
      <c:overlay val="0"/>
      <c:spPr>
        <a:noFill/>
        <a:ln>
          <a:noFill/>
        </a:ln>
        <a:effectLst/>
      </c:spPr>
    </c:title>
    <c:autoTitleDeleted val="0"/>
    <c:plotArea>
      <c:layout>
        <c:manualLayout>
          <c:layoutTarget val="inner"/>
          <c:xMode val="edge"/>
          <c:yMode val="edge"/>
          <c:x val="0.0762576767280805"/>
          <c:y val="0.179744324443465"/>
          <c:w val="0.747079576636613"/>
          <c:h val="0.638726030416575"/>
        </c:manualLayout>
      </c:layout>
      <c:lineChart>
        <c:grouping val="standard"/>
        <c:varyColors val="0"/>
        <c:ser>
          <c:idx val="0"/>
          <c:order val="0"/>
          <c:tx>
            <c:strRef>
              <c:f>[工作簿1]Sheet1!$D$1</c:f>
              <c:strCache>
                <c:ptCount val="1"/>
                <c:pt idx="0">
                  <c:v>不命中率</c:v>
                </c:pt>
              </c:strCache>
            </c:strRef>
          </c:tx>
          <c:spPr>
            <a:ln w="28575" cap="rnd">
              <a:solidFill>
                <a:schemeClr val="accent1"/>
              </a:solidFill>
              <a:round/>
            </a:ln>
            <a:effectLst/>
          </c:spPr>
          <c:marker>
            <c:symbol val="none"/>
          </c:marker>
          <c:dLbls>
            <c:delete val="1"/>
          </c:dLbls>
          <c:val>
            <c:numRef>
              <c:f>[工作簿1]Sheet1!$D$2:$D$7</c:f>
              <c:numCache>
                <c:formatCode>0.00%</c:formatCode>
                <c:ptCount val="6"/>
                <c:pt idx="0">
                  <c:v>0.0049</c:v>
                </c:pt>
                <c:pt idx="1">
                  <c:v>0.0048</c:v>
                </c:pt>
                <c:pt idx="2">
                  <c:v>0.0038</c:v>
                </c:pt>
                <c:pt idx="3">
                  <c:v>0.0036</c:v>
                </c:pt>
                <c:pt idx="4">
                  <c:v>0.0035</c:v>
                </c:pt>
                <c:pt idx="5">
                  <c:v>0.0035</c:v>
                </c:pt>
              </c:numCache>
            </c:numRef>
          </c:val>
          <c:smooth val="0"/>
        </c:ser>
        <c:dLbls>
          <c:showLegendKey val="0"/>
          <c:showVal val="0"/>
          <c:showCatName val="0"/>
          <c:showSerName val="0"/>
          <c:showPercent val="0"/>
          <c:showBubbleSize val="0"/>
        </c:dLbls>
        <c:marker val="0"/>
        <c:smooth val="0"/>
        <c:axId val="381351530"/>
        <c:axId val="910199647"/>
      </c:lineChart>
      <c:catAx>
        <c:axId val="381351530"/>
        <c:scaling>
          <c:orientation val="minMax"/>
        </c:scaling>
        <c:delete val="0"/>
        <c:axPos val="b"/>
        <c:majorGridlines>
          <c:spPr>
            <a:ln w="6350" cap="flat" cmpd="sng" algn="ctr">
              <a:solidFill>
                <a:schemeClr val="tx1">
                  <a:lumMod val="50000"/>
                  <a:lumOff val="50000"/>
                  <a:alpha val="50000"/>
                </a:schemeClr>
              </a:solidFill>
              <a:round/>
            </a:ln>
            <a:effectLst/>
          </c:spPr>
        </c:majorGridlines>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10199647"/>
        <c:crosses val="autoZero"/>
        <c:auto val="1"/>
        <c:lblAlgn val="ctr"/>
        <c:lblOffset val="100"/>
        <c:noMultiLvlLbl val="0"/>
      </c:catAx>
      <c:valAx>
        <c:axId val="910199647"/>
        <c:scaling>
          <c:orientation val="minMax"/>
        </c:scaling>
        <c:delete val="0"/>
        <c:axPos val="l"/>
        <c:majorGridlines>
          <c:spPr>
            <a:ln w="6350" cap="flat" cmpd="sng" algn="ctr">
              <a:solidFill>
                <a:schemeClr val="tx1">
                  <a:lumMod val="50000"/>
                  <a:lumOff val="50000"/>
                  <a:alpha val="50000"/>
                </a:scheme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8135153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781</Words>
  <Characters>1024</Characters>
  <Lines>1</Lines>
  <Paragraphs>1</Paragraphs>
  <TotalTime>0</TotalTime>
  <ScaleCrop>false</ScaleCrop>
  <LinksUpToDate>false</LinksUpToDate>
  <CharactersWithSpaces>1044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2022-02-28T03:02:00Z</dcterms:created>
  <dc:creator>liumicrosoft1027 LIU</dc:creator>
  <cp:lastModifiedBy>张慧源</cp:lastModifiedBy>
  <dcterms:modified xsi:type="dcterms:W3CDTF">2024-11-26T11:30:43Z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7462CFBF0B3D4CB6B863B63C0669DE69_12</vt:lpwstr>
  </property>
</Properties>
</file>