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884CA">
      <w:pPr>
        <w:pStyle w:val="2"/>
        <w:jc w:val="center"/>
      </w:pPr>
      <w:bookmarkStart w:id="0" w:name="第二章-基于混合检索与证据融合的工业时序异常诊断方法"/>
      <w:r>
        <w:rPr>
          <w:rFonts w:ascii="Times New Roman" w:hAnsi="Times New Roman" w:eastAsia="黑体" w:cs="Times New Roman"/>
          <w:b/>
          <w:color w:val="000000"/>
          <w:sz w:val="32"/>
        </w:rPr>
        <w:t>第二章 基于混合检索与证据融合的工业时序异常诊断方法</w:t>
      </w:r>
    </w:p>
    <w:p w14:paraId="7C994F8D">
      <w:pPr>
        <w:pStyle w:val="23"/>
        <w:widowControl/>
        <w:spacing w:before="0" w:after="0" w:line="360" w:lineRule="auto"/>
        <w:ind w:firstLine="482"/>
        <w:jc w:val="both"/>
      </w:pPr>
      <w:r>
        <w:rPr>
          <w:rFonts w:ascii="Times New Roman" w:hAnsi="Times New Roman" w:eastAsia="宋体" w:cs="Times New Roman"/>
          <w:sz w:val="24"/>
        </w:rPr>
        <w:t>工业水处理过程涉及大量异构传感器与复杂的工程耦合关系，单一数据源或单一检索方式难以支撑可解释的根因定位。本章在前文 Relation-EVGAT 异常检测与根因候选排序的基础上，重点阐述基于 DeepSeek 的向量与关系型数据库混合检索机制，以及多源异构知识的证据融合与 Agent 编排策略。整体架构如图 2-1 所示，自下而上包含多源知识库构建、混合检索引擎与智能体决策输出三个层次。</w:t>
      </w:r>
    </w:p>
    <w:p w14:paraId="7188E4AB">
      <w:pPr>
        <w:pStyle w:val="4"/>
        <w:jc w:val="left"/>
        <w:rPr>
          <w:rFonts w:ascii="Times New Roman" w:hAnsi="Times New Roman" w:eastAsia="黑体" w:cs="Times New Roman"/>
          <w:b/>
          <w:color w:val="000000"/>
          <w:sz w:val="28"/>
        </w:rPr>
      </w:pPr>
      <w:bookmarkStart w:id="1" w:name="多源异构知识库构建"/>
      <w:r>
        <w:rPr>
          <w:rFonts w:ascii="Times New Roman" w:hAnsi="Times New Roman" w:eastAsia="黑体" w:cs="Times New Roman"/>
          <w:b/>
          <w:color w:val="000000"/>
          <w:sz w:val="28"/>
        </w:rPr>
        <w:t>2.1 多源异构知识库构建</w:t>
      </w:r>
    </w:p>
    <w:p w14:paraId="7968B34E">
      <w:pPr>
        <w:pStyle w:val="3"/>
        <w:rPr>
          <w:rFonts w:hint="eastAsia" w:eastAsia="黑体"/>
          <w:lang w:eastAsia="zh-CN"/>
        </w:rPr>
      </w:pPr>
    </w:p>
    <w:p w14:paraId="0DADAA9B">
      <w:pPr>
        <w:pStyle w:val="3"/>
        <w:ind w:left="0" w:leftChars="0" w:firstLine="0" w:firstLineChars="0"/>
        <w:rPr>
          <w:rFonts w:hint="eastAsia" w:eastAsia="黑体"/>
          <w:lang w:eastAsia="zh-CN"/>
        </w:rPr>
      </w:pPr>
      <w:bookmarkStart w:id="5" w:name="_GoBack"/>
      <w:bookmarkEnd w:id="5"/>
      <w:r>
        <w:rPr>
          <w:rFonts w:hint="eastAsia" w:eastAsia="黑体"/>
          <w:lang w:eastAsia="zh-CN"/>
        </w:rPr>
        <w:drawing>
          <wp:inline distT="0" distB="0" distL="114300" distR="114300">
            <wp:extent cx="5577205" cy="7257415"/>
            <wp:effectExtent l="0" t="0" r="0" b="0"/>
            <wp:docPr id="3" name="图片 3" descr="RAG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AG原理图"/>
                    <pic:cNvPicPr>
                      <a:picLocks noChangeAspect="1"/>
                    </pic:cNvPicPr>
                  </pic:nvPicPr>
                  <pic:blipFill>
                    <a:blip r:embed="rId7"/>
                    <a:srcRect t="5245" b="2683"/>
                    <a:stretch>
                      <a:fillRect/>
                    </a:stretch>
                  </pic:blipFill>
                  <pic:spPr>
                    <a:xfrm>
                      <a:off x="0" y="0"/>
                      <a:ext cx="5577205" cy="7257415"/>
                    </a:xfrm>
                    <a:prstGeom prst="rect">
                      <a:avLst/>
                    </a:prstGeom>
                  </pic:spPr>
                </pic:pic>
              </a:graphicData>
            </a:graphic>
          </wp:inline>
        </w:drawing>
      </w:r>
    </w:p>
    <w:p w14:paraId="696908D1">
      <w:pPr>
        <w:pStyle w:val="23"/>
        <w:widowControl/>
        <w:spacing w:before="0" w:after="0" w:line="360" w:lineRule="auto"/>
        <w:ind w:firstLine="482"/>
        <w:jc w:val="both"/>
      </w:pPr>
      <w:r>
        <w:rPr>
          <w:rFonts w:ascii="Times New Roman" w:hAnsi="Times New Roman" w:eastAsia="宋体" w:cs="Times New Roman"/>
          <w:sz w:val="24"/>
        </w:rPr>
        <w:t xml:space="preserve">工业现场积累的运维知识分散于多种格式的文档与数据表中。本系统面向 CSV 时序记录、Excel 工艺参数表、PDF 设备手册与 DOC 历史维修报告四类数据源，构建统一知识底座。其中，CSV 与 Excel 主要包含结构化字段（传感器编号、阈值、工艺参数、历史异常记录），经 Kimi 的数据解析与 SQL 生成能力提取后存入关系型数据库，以支持精确字段匹配与条件查询；PDF 与 DOC 包含非结构化的故障现象描述、处置经验与操作规程，经 ErnieBot 的 OCR 识别与文本提取后，进行文本切片与语义编码，最终由 DeepSeek </w:t>
      </w:r>
      <w:r>
        <w:rPr>
          <w:rStyle w:val="37"/>
          <w:rFonts w:ascii="Consolas" w:hAnsi="Consolas" w:eastAsia="等线" w:cs="Consolas"/>
          <w:sz w:val="21"/>
        </w:rPr>
        <w:t>text-embedding-v4</w:t>
      </w:r>
      <w:r>
        <w:rPr>
          <w:rFonts w:ascii="Times New Roman" w:hAnsi="Times New Roman" w:eastAsia="宋体" w:cs="Times New Roman"/>
          <w:sz w:val="24"/>
        </w:rPr>
        <w:t xml:space="preserve"> 模型向量化后存入向量数据库。</w:t>
      </w:r>
    </w:p>
    <w:p w14:paraId="4D044D9F">
      <w:pPr>
        <w:pStyle w:val="3"/>
        <w:widowControl/>
        <w:spacing w:before="0" w:after="0" w:line="360" w:lineRule="auto"/>
        <w:ind w:firstLine="482"/>
        <w:jc w:val="both"/>
      </w:pPr>
      <w:r>
        <w:rPr>
          <w:rFonts w:ascii="Times New Roman" w:hAnsi="Times New Roman" w:eastAsia="宋体" w:cs="Times New Roman"/>
          <w:sz w:val="24"/>
        </w:rPr>
        <w:t>通过上述分流入库策略，语义型知识（故障案例、操作手册段落）与事实型知识（规则阈值、设备参数）在物理存储层面得以分离，为后续“双路检索+融合重排”的混合检索方案奠定基础。</w:t>
      </w:r>
    </w:p>
    <w:bookmarkEnd w:id="1"/>
    <w:p w14:paraId="68254D61">
      <w:pPr>
        <w:pStyle w:val="4"/>
        <w:jc w:val="left"/>
      </w:pPr>
      <w:bookmarkStart w:id="2" w:name="基于-deepseek-的双路混合检索"/>
      <w:r>
        <w:rPr>
          <w:rFonts w:ascii="Times New Roman" w:hAnsi="Times New Roman" w:eastAsia="黑体" w:cs="Times New Roman"/>
          <w:b/>
          <w:color w:val="000000"/>
          <w:sz w:val="28"/>
        </w:rPr>
        <w:t>2.2 基于 DeepSeek 的双路混合检索</w:t>
      </w:r>
    </w:p>
    <w:p w14:paraId="19846FFD">
      <w:pPr>
        <w:pStyle w:val="23"/>
        <w:widowControl/>
        <w:spacing w:before="0" w:after="0" w:line="360" w:lineRule="auto"/>
        <w:ind w:firstLine="482"/>
        <w:jc w:val="left"/>
      </w:pPr>
      <w:r>
        <w:rPr>
          <w:rFonts w:ascii="Times New Roman" w:hAnsi="Times New Roman" w:eastAsia="宋体" w:cs="Times New Roman"/>
          <w:sz w:val="24"/>
        </w:rPr>
        <w:t>当 Relation-EVGAT 检测到异常事件并输出异常节点集合、退化边集合及 Top-K 根因候选后，系统以当前异常事件的证据描述作为查询条件，触发双路并行检索。</w:t>
      </w:r>
    </w:p>
    <w:p w14:paraId="2B48A86A">
      <w:pPr>
        <w:pStyle w:val="3"/>
        <w:keepLines/>
        <w:spacing w:before="60" w:after="60" w:line="240" w:lineRule="auto"/>
        <w:ind w:firstLine="0"/>
        <w:jc w:val="left"/>
      </w:pPr>
      <w:r>
        <w:rPr>
          <w:b/>
          <w:bCs/>
        </w:rPr>
        <w:t>向量检索（语义召回）</w:t>
      </w:r>
      <w:r>
        <w:t xml:space="preserve">。将异常事件的关键描述（异常传感器 ID、时序偏差方向、退化边关系）拼接为自然语言查询 </w:t>
      </w:r>
      <m:oMath>
        <m:r>
          <m:rPr/>
          <m:t>q</m:t>
        </m:r>
      </m:oMath>
      <w:r>
        <w:t xml:space="preserve">，由 DeepSeek </w:t>
      </w:r>
      <w:r>
        <w:rPr>
          <w:rStyle w:val="37"/>
        </w:rPr>
        <w:t>text-embedding-v4</w:t>
      </w:r>
      <w:r>
        <w:t xml:space="preserve"> 模型编码为稠密向量 </w:t>
      </w:r>
      <m:oMath>
        <m:sSub>
          <m:sSubPr/>
          <m:e>
            <m:r>
              <m:rPr>
                <m:sty m:val="b"/>
              </m:rPr>
              <m:t>e</m:t>
            </m:r>
          </m:e>
          <m:sub>
            <m:r>
              <m:rPr/>
              <m:t>q</m:t>
            </m:r>
          </m:sub>
        </m:sSub>
      </m:oMath>
      <w:r>
        <w:t>。随后在向量数据库中执行最近邻搜索：</w:t>
      </w:r>
    </w:p>
    <w:p w14:paraId="157B17FC">
      <w:pPr>
        <w:pStyle w:val="3"/>
        <w:keepLines/>
        <w:spacing w:before="60" w:after="60" w:line="240" w:lineRule="auto"/>
        <w:ind w:firstLine="0"/>
        <w:jc w:val="center"/>
      </w:pPr>
      <m:oMathPara>
        <m:oMathParaPr>
          <m:jc m:val="center"/>
        </m:oMathParaPr>
        <m:oMath>
          <m:r>
            <m:rPr>
              <m:nor/>
              <m:sty m:val="p"/>
            </m:rPr>
            <w:rPr>
              <w:b w:val="0"/>
              <w:i w:val="0"/>
            </w:rPr>
            <m:t>Top-</m:t>
          </m:r>
          <m:sSub>
            <m:sSubPr/>
            <m:e>
              <m:r>
                <m:rPr/>
                <m:t>k</m:t>
              </m:r>
            </m:e>
            <m:sub>
              <m:r>
                <m:rPr>
                  <m:nor/>
                  <m:sty m:val="p"/>
                </m:rPr>
                <w:rPr>
                  <w:b w:val="0"/>
                  <w:i w:val="0"/>
                </w:rPr>
                <m:t>vec</m:t>
              </m:r>
            </m:sub>
          </m:sSub>
          <m:r>
            <m:rPr>
              <m:sty m:val="p"/>
            </m:rPr>
            <m:t>=</m:t>
          </m:r>
          <m:limLow>
            <m:limLowPr/>
            <m:e>
              <m:r>
                <m:rPr>
                  <m:sty m:val="p"/>
                </m:rPr>
                <m:t>argmax</m:t>
              </m:r>
            </m:e>
            <m:lim>
              <m:sSub>
                <m:sSubPr/>
                <m:e>
                  <m:r>
                    <m:rPr>
                      <m:sty m:val="p"/>
                      <m:scr m:val="script"/>
                    </m:rPr>
                    <m:t>D</m:t>
                  </m:r>
                </m:e>
                <m:sub>
                  <m:r>
                    <m:rPr>
                      <m:nor/>
                      <m:sty m:val="p"/>
                    </m:rPr>
                    <w:rPr>
                      <w:b w:val="0"/>
                      <w:i w:val="0"/>
                    </w:rPr>
                    <m:t>vec</m:t>
                  </m:r>
                </m:sub>
              </m:sSub>
            </m:lim>
          </m:limLow>
          <m:r>
            <m:rPr/>
            <m:t> </m:t>
          </m:r>
          <m:r>
            <m:rPr>
              <m:nor/>
              <m:sty m:val="p"/>
            </m:rPr>
            <w:rPr>
              <w:b w:val="0"/>
              <w:i w:val="0"/>
            </w:rPr>
            <m:t>cosine</m:t>
          </m:r>
          <m:d>
            <m:dPr>
              <m:sepChr m:val=""/>
            </m:dPr>
            <m:e>
              <m:sSub>
                <m:sSubPr/>
                <m:e>
                  <m:r>
                    <m:rPr>
                      <m:sty m:val="b"/>
                    </m:rPr>
                    <m:t>e</m:t>
                  </m:r>
                </m:e>
                <m:sub>
                  <m:r>
                    <m:rPr/>
                    <m:t>q</m:t>
                  </m:r>
                </m:sub>
              </m:sSub>
              <m:r>
                <m:rPr>
                  <m:sty m:val="p"/>
                </m:rPr>
                <m:t>,</m:t>
              </m:r>
              <m:sSub>
                <m:sSubPr/>
                <m:e>
                  <m:r>
                    <m:rPr>
                      <m:sty m:val="b"/>
                    </m:rPr>
                    <m:t>e</m:t>
                  </m:r>
                </m:e>
                <m:sub>
                  <m:r>
                    <m:rPr/>
                    <m:t>d</m:t>
                  </m:r>
                </m:sub>
              </m:sSub>
            </m:e>
          </m:d>
        </m:oMath>
      </m:oMathPara>
    </w:p>
    <w:p w14:paraId="734AC1D4">
      <w:pPr>
        <w:pStyle w:val="23"/>
        <w:keepLines/>
        <w:spacing w:before="60" w:after="60" w:line="240" w:lineRule="auto"/>
        <w:ind w:firstLine="0"/>
        <w:jc w:val="left"/>
      </w:pPr>
      <w:r>
        <w:t xml:space="preserve">其中 </w:t>
      </w:r>
      <m:oMath>
        <m:sSub>
          <m:sSubPr/>
          <m:e>
            <m:r>
              <m:rPr>
                <m:sty m:val="p"/>
                <m:scr m:val="script"/>
              </m:rPr>
              <m:t>D</m:t>
            </m:r>
          </m:e>
          <m:sub>
            <m:r>
              <m:rPr>
                <m:nor/>
                <m:sty m:val="p"/>
              </m:rPr>
              <w:rPr>
                <w:b w:val="0"/>
                <w:i w:val="0"/>
              </w:rPr>
              <m:t>vec</m:t>
            </m:r>
          </m:sub>
        </m:sSub>
      </m:oMath>
      <w:r>
        <w:t xml:space="preserve"> 为向量库中的所有文档片段，</w:t>
      </w:r>
      <m:oMath>
        <m:sSub>
          <m:sSubPr/>
          <m:e>
            <m:r>
              <m:rPr>
                <m:sty m:val="b"/>
              </m:rPr>
              <m:t>e</m:t>
            </m:r>
          </m:e>
          <m:sub>
            <m:r>
              <m:rPr/>
              <m:t>d</m:t>
            </m:r>
          </m:sub>
        </m:sSub>
      </m:oMath>
      <w:r>
        <w:t xml:space="preserve"> 为预存片段向量。该路检索召回与当前异常语义相近的历史故障处置案例与手册相关章节，为根因推理提供经验参考。</w:t>
      </w:r>
    </w:p>
    <w:p w14:paraId="0310407E">
      <w:pPr>
        <w:pStyle w:val="3"/>
        <w:widowControl/>
        <w:spacing w:before="0" w:after="0" w:line="360" w:lineRule="auto"/>
        <w:ind w:firstLine="482"/>
        <w:jc w:val="left"/>
      </w:pPr>
      <w:r>
        <w:rPr>
          <w:rFonts w:ascii="Times New Roman" w:hAnsi="Times New Roman" w:eastAsia="宋体" w:cs="Times New Roman"/>
          <w:b/>
          <w:bCs/>
          <w:sz w:val="24"/>
        </w:rPr>
        <w:t>关系型检索（精确匹配）</w:t>
      </w:r>
      <w:r>
        <w:rPr>
          <w:rFonts w:ascii="Times New Roman" w:hAnsi="Times New Roman" w:eastAsia="宋体" w:cs="Times New Roman"/>
          <w:sz w:val="24"/>
        </w:rPr>
        <w:t>。与此同时，系统提取异常事件中的结构化字段（异常传感器编号、超限幅值、设备类型标签），构造 SQL 查询条件，在关系型数据库中精确匹配对应工艺规则、标准阈值范围及历史同类型事件的处置流程。该路检索结果具有高权威性与确定性，弥补了向量检索“软匹配”可能带来的语义漂移风险。</w:t>
      </w:r>
    </w:p>
    <w:p w14:paraId="115030DF">
      <w:pPr>
        <w:pStyle w:val="3"/>
        <w:keepLines/>
        <w:spacing w:before="60" w:after="60" w:line="240" w:lineRule="auto"/>
        <w:ind w:firstLine="0"/>
        <w:jc w:val="left"/>
      </w:pPr>
      <w:r>
        <w:rPr>
          <w:b/>
          <w:bCs/>
        </w:rPr>
        <w:t>融合重排策略</w:t>
      </w:r>
      <w:r>
        <w:t xml:space="preserve">。两路检索结果经融合层合并，按置信度分数加权去重。设向量检索召回集合为 </w:t>
      </w:r>
      <m:oMath>
        <m:sSub>
          <m:sSubPr/>
          <m:e>
            <m:r>
              <m:rPr>
                <m:sty m:val="p"/>
                <m:scr m:val="script"/>
              </m:rPr>
              <m:t>ℛ</m:t>
            </m:r>
          </m:e>
          <m:sub>
            <m:r>
              <m:rPr>
                <m:nor/>
                <m:sty m:val="p"/>
              </m:rPr>
              <w:rPr>
                <w:b w:val="0"/>
                <w:i w:val="0"/>
              </w:rPr>
              <m:t>vec</m:t>
            </m:r>
          </m:sub>
        </m:sSub>
      </m:oMath>
      <w:r>
        <w:t xml:space="preserve">，关系检索召回集合为 </w:t>
      </w:r>
      <m:oMath>
        <m:sSub>
          <m:sSubPr/>
          <m:e>
            <m:r>
              <m:rPr>
                <m:sty m:val="p"/>
                <m:scr m:val="script"/>
              </m:rPr>
              <m:t>ℛ</m:t>
            </m:r>
          </m:e>
          <m:sub>
            <m:r>
              <m:rPr>
                <m:nor/>
                <m:sty m:val="p"/>
              </m:rPr>
              <w:rPr>
                <w:b w:val="0"/>
                <w:i w:val="0"/>
              </w:rPr>
              <m:t>rel</m:t>
            </m:r>
          </m:sub>
        </m:sSub>
      </m:oMath>
      <w:r>
        <w:t xml:space="preserve">，融合后的知识证据包 </w:t>
      </w:r>
      <m:oMath>
        <m:r>
          <m:rPr>
            <m:sty m:val="p"/>
            <m:scr m:val="script"/>
          </m:rPr>
          <m:t>K</m:t>
        </m:r>
      </m:oMath>
      <w:r>
        <w:t xml:space="preserve"> 表示为：</w:t>
      </w:r>
    </w:p>
    <w:p w14:paraId="1A00A60C">
      <w:pPr>
        <w:pStyle w:val="3"/>
        <w:keepLines/>
        <w:spacing w:before="60" w:after="60" w:line="240" w:lineRule="auto"/>
        <w:ind w:firstLine="0"/>
        <w:jc w:val="center"/>
      </w:pPr>
      <m:oMathPara>
        <m:oMathParaPr>
          <m:jc m:val="center"/>
        </m:oMathParaPr>
        <m:oMath>
          <m:r>
            <m:rPr>
              <m:sty m:val="p"/>
              <m:scr m:val="script"/>
            </m:rPr>
            <m:t>K</m:t>
          </m:r>
          <m:r>
            <m:rPr>
              <m:sty m:val="p"/>
            </m:rPr>
            <m:t>=</m:t>
          </m:r>
          <m:r>
            <m:rPr>
              <m:nor/>
              <m:sty m:val="p"/>
            </m:rPr>
            <m:t>Top-</m:t>
          </m:r>
          <m:sSub>
            <m:sSubPr/>
            <m:e>
              <m:r>
                <m:rPr/>
                <m:t>k</m:t>
              </m:r>
            </m:e>
            <m:sub>
              <m:r>
                <m:rPr>
                  <m:nor/>
                  <m:sty m:val="p"/>
                </m:rPr>
                <w:rPr>
                  <w:b w:val="0"/>
                  <w:i w:val="0"/>
                </w:rPr>
                <m:t>fuse</m:t>
              </m:r>
            </m:sub>
          </m:sSub>
          <m:d>
            <m:dPr>
              <m:sepChr m:val=""/>
            </m:dPr>
            <m:e>
              <m:r>
                <m:rPr>
                  <m:nor/>
                  <m:sty m:val="p"/>
                </m:rPr>
                <w:rPr>
                  <w:b w:val="0"/>
                  <w:i w:val="0"/>
                </w:rPr>
                <m:t>WeightedUnion</m:t>
              </m:r>
              <m:d>
                <m:dPr>
                  <m:sepChr m:val=""/>
                </m:dPr>
                <m:e>
                  <m:sSub>
                    <m:sSubPr/>
                    <m:e>
                      <m:r>
                        <m:rPr>
                          <m:sty m:val="p"/>
                          <m:scr m:val="script"/>
                        </m:rPr>
                        <m:t>ℛ</m:t>
                      </m:r>
                    </m:e>
                    <m:sub>
                      <m:r>
                        <m:rPr>
                          <m:nor/>
                          <m:sty m:val="p"/>
                        </m:rPr>
                        <w:rPr>
                          <w:b w:val="0"/>
                          <w:i w:val="0"/>
                        </w:rPr>
                        <m:t>vec</m:t>
                      </m:r>
                    </m:sub>
                  </m:sSub>
                  <m:r>
                    <m:rPr>
                      <m:sty m:val="p"/>
                    </m:rPr>
                    <m:t>,</m:t>
                  </m:r>
                  <m:sSub>
                    <m:sSubPr/>
                    <m:e>
                      <m:r>
                        <m:rPr>
                          <m:sty m:val="p"/>
                          <m:scr m:val="script"/>
                        </m:rPr>
                        <m:t>ℛ</m:t>
                      </m:r>
                    </m:e>
                    <m:sub>
                      <m:r>
                        <m:rPr>
                          <m:nor/>
                          <m:sty m:val="p"/>
                        </m:rPr>
                        <w:rPr>
                          <w:b w:val="0"/>
                          <w:i w:val="0"/>
                        </w:rPr>
                        <m:t>rel</m:t>
                      </m:r>
                    </m:sub>
                  </m:sSub>
                  <m:r>
                    <m:rPr>
                      <m:sty m:val="p"/>
                    </m:rPr>
                    <m:t>,</m:t>
                  </m:r>
                  <m:r>
                    <m:rPr/>
                    <m:t>λ</m:t>
                  </m:r>
                </m:e>
              </m:d>
            </m:e>
          </m:d>
        </m:oMath>
      </m:oMathPara>
    </w:p>
    <w:p w14:paraId="415F4897">
      <w:pPr>
        <w:pStyle w:val="23"/>
        <w:keepLines/>
        <w:spacing w:before="60" w:after="60" w:line="240" w:lineRule="auto"/>
        <w:ind w:firstLine="0"/>
        <w:jc w:val="center"/>
      </w:pPr>
      <w:r>
        <w:t xml:space="preserve">其中 </w:t>
      </w:r>
      <m:oMath>
        <m:r>
          <m:rPr/>
          <m:t>λ</m:t>
        </m:r>
      </m:oMath>
      <w:r>
        <w:t xml:space="preserve"> 为调节向量召回与精确匹配权重的超参数（本实验取 </w:t>
      </w:r>
      <m:oMath>
        <m:r>
          <m:rPr/>
          <m:t>λ</m:t>
        </m:r>
        <m:r>
          <m:rPr>
            <m:sty m:val="p"/>
          </m:rPr>
          <m:t>=</m:t>
        </m:r>
        <m:r>
          <m:rPr/>
          <m:t>0.6</m:t>
        </m:r>
      </m:oMath>
      <w:r>
        <w:t xml:space="preserve">，偏重向量召回的语义覆盖）。最终将 </w:t>
      </w:r>
      <m:oMath>
        <m:r>
          <m:rPr>
            <m:sty m:val="p"/>
            <m:scr m:val="script"/>
          </m:rPr>
          <m:t>K</m:t>
        </m:r>
      </m:oMath>
      <w:r>
        <w:t xml:space="preserve"> 组织为结构化字段与自然语言摘要并存的知识证据包，输入后续推理环节。</w:t>
      </w:r>
    </w:p>
    <w:bookmarkEnd w:id="2"/>
    <w:p w14:paraId="166CA50C">
      <w:pPr>
        <w:pStyle w:val="4"/>
        <w:jc w:val="left"/>
      </w:pPr>
      <w:bookmarkStart w:id="3" w:name="基于智能体的证据融合与推理编排"/>
      <w:r>
        <w:rPr>
          <w:rFonts w:ascii="Times New Roman" w:hAnsi="Times New Roman" w:eastAsia="黑体" w:cs="Times New Roman"/>
          <w:b/>
          <w:color w:val="000000"/>
          <w:sz w:val="28"/>
        </w:rPr>
        <w:t>2.3 基于智能体的证据融合与推理编排</w:t>
      </w:r>
    </w:p>
    <w:p w14:paraId="005AEF9B">
      <w:pPr>
        <w:pStyle w:val="23"/>
        <w:widowControl/>
        <w:spacing w:before="0" w:after="0" w:line="360" w:lineRule="auto"/>
        <w:ind w:firstLine="482"/>
        <w:jc w:val="both"/>
      </w:pPr>
      <w:r>
        <w:rPr>
          <w:rFonts w:ascii="Times New Roman" w:hAnsi="Times New Roman" w:eastAsia="宋体" w:cs="Times New Roman"/>
          <w:sz w:val="24"/>
        </w:rPr>
        <w:t xml:space="preserve">混合检索输出的知识证据包需与 Relation-EVGAT 提供的 5 类异常证据（异常分数、阈值、Top-K 根因候选、关系退化边、传播路径）以及当前工况上下文进行统一融合，这一过程由 Agent 进行流程编排。Agent 不是单次 LLM 调用，而是按照“异常现象归纳 → 混合检索触发 → 多源证据汇聚 → 根因判别与证据链组织 → 诊断报告生成”的固定工作流进行任务调度。在多源证据汇聚阶段，Agent 将异构数据统一转换为大语言模型可理解的 JSON 结构，包含 </w:t>
      </w:r>
      <w:r>
        <w:rPr>
          <w:rStyle w:val="37"/>
          <w:rFonts w:ascii="Consolas" w:hAnsi="Consolas" w:eastAsia="等线" w:cs="Consolas"/>
          <w:sz w:val="21"/>
        </w:rPr>
        <w:t>conclusion</w:t>
      </w:r>
      <w:r>
        <w:rPr>
          <w:rFonts w:ascii="Times New Roman" w:hAnsi="Times New Roman" w:eastAsia="宋体" w:cs="Times New Roman"/>
          <w:sz w:val="24"/>
        </w:rPr>
        <w:t>、</w:t>
      </w:r>
      <w:r>
        <w:rPr>
          <w:rStyle w:val="37"/>
          <w:rFonts w:ascii="Consolas" w:hAnsi="Consolas" w:eastAsia="等线" w:cs="Consolas"/>
          <w:sz w:val="21"/>
        </w:rPr>
        <w:t>root_causes</w:t>
      </w:r>
      <w:r>
        <w:rPr>
          <w:rFonts w:ascii="Times New Roman" w:hAnsi="Times New Roman" w:eastAsia="宋体" w:cs="Times New Roman"/>
          <w:sz w:val="24"/>
        </w:rPr>
        <w:t>、</w:t>
      </w:r>
      <w:r>
        <w:rPr>
          <w:rStyle w:val="37"/>
          <w:rFonts w:ascii="Consolas" w:hAnsi="Consolas" w:eastAsia="等线" w:cs="Consolas"/>
          <w:sz w:val="21"/>
        </w:rPr>
        <w:t>degraded_edges</w:t>
      </w:r>
      <w:r>
        <w:rPr>
          <w:rFonts w:ascii="Times New Roman" w:hAnsi="Times New Roman" w:eastAsia="宋体" w:cs="Times New Roman"/>
          <w:sz w:val="24"/>
        </w:rPr>
        <w:t>、</w:t>
      </w:r>
      <w:r>
        <w:rPr>
          <w:rStyle w:val="37"/>
          <w:rFonts w:ascii="Consolas" w:hAnsi="Consolas" w:eastAsia="等线" w:cs="Consolas"/>
          <w:sz w:val="21"/>
        </w:rPr>
        <w:t>recommendations</w:t>
      </w:r>
      <w:r>
        <w:rPr>
          <w:rFonts w:ascii="Times New Roman" w:hAnsi="Times New Roman" w:eastAsia="宋体" w:cs="Times New Roman"/>
          <w:sz w:val="24"/>
        </w:rPr>
        <w:t>、</w:t>
      </w:r>
      <w:r>
        <w:rPr>
          <w:rStyle w:val="37"/>
          <w:rFonts w:ascii="Consolas" w:hAnsi="Consolas" w:eastAsia="等线" w:cs="Consolas"/>
          <w:sz w:val="21"/>
        </w:rPr>
        <w:t>citations</w:t>
      </w:r>
      <w:r>
        <w:rPr>
          <w:rFonts w:ascii="Times New Roman" w:hAnsi="Times New Roman" w:eastAsia="宋体" w:cs="Times New Roman"/>
          <w:sz w:val="24"/>
        </w:rPr>
        <w:t xml:space="preserve"> 及 </w:t>
      </w:r>
      <w:r>
        <w:rPr>
          <w:rStyle w:val="37"/>
          <w:rFonts w:ascii="Consolas" w:hAnsi="Consolas" w:eastAsia="等线" w:cs="Consolas"/>
          <w:sz w:val="21"/>
        </w:rPr>
        <w:t>report_text</w:t>
      </w:r>
      <w:r>
        <w:rPr>
          <w:rFonts w:ascii="Times New Roman" w:hAnsi="Times New Roman" w:eastAsia="宋体" w:cs="Times New Roman"/>
          <w:sz w:val="24"/>
        </w:rPr>
        <w:t xml:space="preserve"> 六个规定字段。最终，系统同时输出标准化 JSON 诊断结果与完整自然语言运维报告，兼顾机器可读与人工可读需求。</w:t>
      </w:r>
    </w:p>
    <w:bookmarkEnd w:id="3"/>
    <w:p w14:paraId="4DB9427B">
      <w:pPr>
        <w:pStyle w:val="4"/>
        <w:jc w:val="left"/>
      </w:pPr>
      <w:bookmarkStart w:id="4" w:name="对比实验与结果分析"/>
      <w:r>
        <w:rPr>
          <w:rFonts w:ascii="Times New Roman" w:hAnsi="Times New Roman" w:eastAsia="黑体" w:cs="Times New Roman"/>
          <w:b/>
          <w:color w:val="000000"/>
          <w:sz w:val="28"/>
        </w:rPr>
        <w:t>2.4 对比实验与结果分析</w:t>
      </w:r>
    </w:p>
    <w:p w14:paraId="40FA85D4">
      <w:pPr>
        <w:pStyle w:val="23"/>
        <w:keepLines/>
        <w:spacing w:before="60" w:after="60" w:line="240" w:lineRule="auto"/>
        <w:ind w:firstLine="0"/>
        <w:jc w:val="center"/>
      </w:pPr>
      <w:r>
        <w:t xml:space="preserve">为验证上述混合检索与证据融合方案的有效性，本文设置统一输入、统一任务与统一评价标准的对比实验。测试样本总数为 </w:t>
      </w:r>
      <m:oMath>
        <m:r>
          <m:rPr/>
          <m:t>N</m:t>
        </m:r>
      </m:oMath>
      <w:r>
        <w:t xml:space="preserve">，各模型接收完全一致的 Relation-EVGAT 输出证据与知识库检索结果。参与对比的模型包括确定性规则 Agent、Qwen-Flash、Qwen3.5-Flash、DeepSeek-V4-Flash 及本文采用的 DeepSeek-V4-Pro（推理模型），其中 DeepSeek 系列均以 </w:t>
      </w:r>
      <w:r>
        <w:rPr>
          <w:rStyle w:val="37"/>
        </w:rPr>
        <w:t>text-embedding-v4</w:t>
      </w:r>
      <w:r>
        <w:t xml:space="preserve"> 作为向量检索编码器。</w:t>
      </w:r>
    </w:p>
    <w:p w14:paraId="2B307A0D">
      <w:pPr>
        <w:pStyle w:val="3"/>
        <w:rPr>
          <w:rFonts w:hint="eastAsia" w:eastAsia="宋体"/>
          <w:lang w:eastAsia="zh-CN"/>
        </w:rPr>
      </w:pPr>
      <w:r>
        <w:rPr>
          <w:rFonts w:hint="eastAsia" w:eastAsia="宋体"/>
          <w:lang w:eastAsia="zh-CN"/>
        </w:rPr>
        <w:drawing>
          <wp:inline distT="0" distB="0" distL="114300" distR="114300">
            <wp:extent cx="5573395" cy="2586990"/>
            <wp:effectExtent l="0" t="0" r="1905" b="3810"/>
            <wp:docPr id="2" name="图片 2" descr="fig01_quality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01_quality_comparison"/>
                    <pic:cNvPicPr>
                      <a:picLocks noChangeAspect="1"/>
                    </pic:cNvPicPr>
                  </pic:nvPicPr>
                  <pic:blipFill>
                    <a:blip r:embed="rId8"/>
                    <a:stretch>
                      <a:fillRect/>
                    </a:stretch>
                  </pic:blipFill>
                  <pic:spPr>
                    <a:xfrm>
                      <a:off x="0" y="0"/>
                      <a:ext cx="5573395" cy="2586990"/>
                    </a:xfrm>
                    <a:prstGeom prst="rect">
                      <a:avLst/>
                    </a:prstGeom>
                  </pic:spPr>
                </pic:pic>
              </a:graphicData>
            </a:graphic>
          </wp:inline>
        </w:drawing>
      </w:r>
      <w:r>
        <w:rPr>
          <w:rFonts w:hint="eastAsia" w:eastAsia="宋体"/>
          <w:lang w:eastAsia="zh-CN"/>
        </w:rPr>
        <w:drawing>
          <wp:inline distT="0" distB="0" distL="114300" distR="114300">
            <wp:extent cx="5577205" cy="3413760"/>
            <wp:effectExtent l="0" t="0" r="10795" b="2540"/>
            <wp:docPr id="1" name="图片 1" descr="fig02_quality_latency_pa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02_quality_latency_pareto"/>
                    <pic:cNvPicPr>
                      <a:picLocks noChangeAspect="1"/>
                    </pic:cNvPicPr>
                  </pic:nvPicPr>
                  <pic:blipFill>
                    <a:blip r:embed="rId9"/>
                    <a:stretch>
                      <a:fillRect/>
                    </a:stretch>
                  </pic:blipFill>
                  <pic:spPr>
                    <a:xfrm>
                      <a:off x="0" y="0"/>
                      <a:ext cx="5577205" cy="3413760"/>
                    </a:xfrm>
                    <a:prstGeom prst="rect">
                      <a:avLst/>
                    </a:prstGeom>
                  </pic:spPr>
                </pic:pic>
              </a:graphicData>
            </a:graphic>
          </wp:inline>
        </w:drawing>
      </w:r>
    </w:p>
    <w:p w14:paraId="5986FC82">
      <w:pPr>
        <w:pStyle w:val="3"/>
        <w:widowControl/>
        <w:spacing w:before="0" w:after="0" w:line="360" w:lineRule="auto"/>
        <w:ind w:firstLine="482"/>
        <w:jc w:val="both"/>
      </w:pPr>
      <w:r>
        <w:rPr>
          <w:rFonts w:ascii="Times New Roman" w:hAnsi="Times New Roman" w:eastAsia="宋体" w:cs="Times New Roman"/>
          <w:sz w:val="24"/>
        </w:rPr>
        <w:t>评价指标涵盖结构化输出稳定性、证据忠实度、幻觉风险与推理效率四方面。关键指标定义如下：</w:t>
      </w:r>
    </w:p>
    <w:p w14:paraId="0FCE071F">
      <w:pPr>
        <w:pStyle w:val="3"/>
        <w:keepNext/>
        <w:spacing w:before="60" w:after="0"/>
        <w:ind w:firstLine="0"/>
        <w:jc w:val="left"/>
      </w:pPr>
      <w:r>
        <w:rPr>
          <w:rFonts w:ascii="Times New Roman" w:hAnsi="Times New Roman" w:eastAsia="宋体" w:cs="Times New Roman"/>
          <w:sz w:val="24"/>
        </w:rPr>
        <w:t>Schema 完整率</w:t>
      </w:r>
    </w:p>
    <w:p w14:paraId="2F1BBC91">
      <w:pPr>
        <w:pStyle w:val="3"/>
        <w:keepLines/>
        <w:spacing w:before="60" w:after="60" w:line="240" w:lineRule="auto"/>
        <w:ind w:firstLine="0"/>
        <w:jc w:val="center"/>
      </w:pPr>
      <m:oMathPara>
        <m:oMathParaPr>
          <m:jc m:val="center"/>
        </m:oMathParaPr>
        <m:oMath>
          <m:sSub>
            <m:sSubPr/>
            <m:e>
              <m:r>
                <m:rPr/>
                <m:t>C</m:t>
              </m:r>
            </m:e>
            <m:sub>
              <m:r>
                <m:rPr>
                  <m:nor/>
                  <m:sty m:val="p"/>
                </m:rPr>
                <w:rPr>
                  <w:b w:val="0"/>
                  <w:i w:val="0"/>
                </w:rPr>
                <m:t>schema</m:t>
              </m:r>
            </m:sub>
          </m:sSub>
          <m:r>
            <m:rPr>
              <m:sty m:val="p"/>
            </m:rPr>
            <m:t>=</m:t>
          </m:r>
          <m:f>
            <m:fPr/>
            <m:num>
              <m:r>
                <m:rPr/>
                <m:t>1</m:t>
              </m:r>
            </m:num>
            <m:den>
              <m:r>
                <m:rPr/>
                <m:t>N</m:t>
              </m:r>
            </m:den>
          </m:f>
          <m:nary>
            <m:naryPr>
              <m:chr m:val="∑"/>
              <m:limLoc m:val="undOvr"/>
            </m:naryPr>
            <m:sub>
              <m:r>
                <m:rPr/>
                <m:t>i</m:t>
              </m:r>
              <m:r>
                <m:rPr>
                  <m:sty m:val="p"/>
                </m:rPr>
                <m:t>=</m:t>
              </m:r>
              <m:r>
                <m:rPr/>
                <m:t>1</m:t>
              </m:r>
            </m:sub>
            <m:sup>
              <m:r>
                <m:rPr/>
                <m:t>N</m:t>
              </m:r>
            </m:sup>
            <m:e>
              <m:f>
                <m:fPr/>
                <m:num>
                  <m:r>
                    <m:rPr/>
                    <m:t>1</m:t>
                  </m:r>
                </m:num>
                <m:den>
                  <m:d>
                    <m:dPr>
                      <m:begChr m:val="|"/>
                      <m:sepChr m:val=""/>
                      <m:endChr m:val="|"/>
                    </m:dPr>
                    <m:e>
                      <m:r>
                        <m:rPr/>
                        <m:t>F</m:t>
                      </m:r>
                    </m:e>
                  </m:d>
                </m:den>
              </m:f>
            </m:e>
          </m:nary>
          <m:nary>
            <m:naryPr>
              <m:chr m:val="∑"/>
              <m:limLoc m:val="undOvr"/>
              <m:supHide m:val="1"/>
            </m:naryPr>
            <m:sub>
              <m:r>
                <m:rPr/>
                <m:t>f</m:t>
              </m:r>
              <m:r>
                <m:rPr>
                  <m:sty m:val="p"/>
                </m:rPr>
                <m:t>∈</m:t>
              </m:r>
              <m:r>
                <m:rPr/>
                <m:t>F</m:t>
              </m:r>
            </m:sub>
            <m:sup>
              <m:r>
                <m:rPr/>
                <m:t>​</m:t>
              </m:r>
            </m:sup>
            <m:e>
              <m:r>
                <m:rPr>
                  <m:sty m:val="p"/>
                  <m:scr m:val="double-struck"/>
                </m:rPr>
                <m:t>I</m:t>
              </m:r>
            </m:e>
          </m:nary>
          <m:d>
            <m:dPr>
              <m:sepChr m:val=""/>
            </m:dPr>
            <m:e>
              <m:r>
                <m:rPr/>
                <m:t>f</m:t>
              </m:r>
              <m:r>
                <m:rPr>
                  <m:sty m:val="p"/>
                </m:rPr>
                <m:t>∈</m:t>
              </m:r>
              <m:sSub>
                <m:sSubPr/>
                <m:e>
                  <m:acc>
                    <m:accPr/>
                    <m:e>
                      <m:r>
                        <m:rPr/>
                        <m:t>y</m:t>
                      </m:r>
                    </m:e>
                  </m:acc>
                </m:e>
                <m:sub>
                  <m:r>
                    <m:rPr/>
                    <m:t>i</m:t>
                  </m:r>
                </m:sub>
              </m:sSub>
              <m:r>
                <m:rPr>
                  <m:sty m:val="p"/>
                </m:rPr>
                <m:t>∧</m:t>
              </m:r>
              <m:sSub>
                <m:sSubPr/>
                <m:e>
                  <m:acc>
                    <m:accPr/>
                    <m:e>
                      <m:r>
                        <m:rPr/>
                        <m:t>y</m:t>
                      </m:r>
                    </m:e>
                  </m:acc>
                </m:e>
                <m:sub>
                  <m:r>
                    <m:rPr/>
                    <m:t>i</m:t>
                  </m:r>
                  <m:r>
                    <m:rPr>
                      <m:sty m:val="p"/>
                    </m:rPr>
                    <m:t>,</m:t>
                  </m:r>
                  <m:r>
                    <m:rPr/>
                    <m:t>f</m:t>
                  </m:r>
                </m:sub>
              </m:sSub>
              <m:r>
                <m:rPr>
                  <m:sty m:val="p"/>
                </m:rPr>
                <m:t>≠⌀</m:t>
              </m:r>
            </m:e>
          </m:d>
        </m:oMath>
      </m:oMathPara>
    </w:p>
    <w:p w14:paraId="23353B2D">
      <w:pPr>
        <w:pStyle w:val="23"/>
        <w:keepNext/>
        <w:spacing w:before="60" w:after="0"/>
        <w:ind w:firstLine="0"/>
        <w:jc w:val="left"/>
      </w:pPr>
      <w:r>
        <w:rPr>
          <w:rFonts w:ascii="Times New Roman" w:hAnsi="Times New Roman" w:eastAsia="宋体" w:cs="Times New Roman"/>
          <w:sz w:val="24"/>
        </w:rPr>
        <w:t>Top-1 根因提及率</w:t>
      </w:r>
    </w:p>
    <w:p w14:paraId="5A0CBBE6">
      <w:pPr>
        <w:pStyle w:val="3"/>
        <w:keepLines/>
        <w:spacing w:before="60" w:after="60" w:line="240" w:lineRule="auto"/>
        <w:ind w:firstLine="0"/>
        <w:jc w:val="center"/>
      </w:pPr>
      <m:oMathPara>
        <m:oMathParaPr>
          <m:jc m:val="center"/>
        </m:oMathParaPr>
        <m:oMath>
          <m:sSub>
            <m:sSubPr/>
            <m:e>
              <m:r>
                <m:rPr/>
                <m:t>A</m:t>
              </m:r>
            </m:e>
            <m:sub>
              <m:r>
                <m:rPr>
                  <m:nor/>
                  <m:sty m:val="p"/>
                </m:rPr>
                <w:rPr>
                  <w:b w:val="0"/>
                  <w:i w:val="0"/>
                </w:rPr>
                <m:t>Top1</m:t>
              </m:r>
            </m:sub>
          </m:sSub>
          <m:r>
            <m:rPr>
              <m:sty m:val="p"/>
            </m:rPr>
            <m:t>=</m:t>
          </m:r>
          <m:f>
            <m:fPr/>
            <m:num>
              <m:r>
                <m:rPr/>
                <m:t>1</m:t>
              </m:r>
            </m:num>
            <m:den>
              <m:r>
                <m:rPr/>
                <m:t>N</m:t>
              </m:r>
            </m:den>
          </m:f>
          <m:nary>
            <m:naryPr>
              <m:chr m:val="∑"/>
              <m:limLoc m:val="undOvr"/>
            </m:naryPr>
            <m:sub>
              <m:r>
                <m:rPr/>
                <m:t>i</m:t>
              </m:r>
              <m:r>
                <m:rPr>
                  <m:sty m:val="p"/>
                </m:rPr>
                <m:t>=</m:t>
              </m:r>
              <m:r>
                <m:rPr/>
                <m:t>1</m:t>
              </m:r>
            </m:sub>
            <m:sup>
              <m:r>
                <m:rPr/>
                <m:t>N</m:t>
              </m:r>
            </m:sup>
            <m:e>
              <m:r>
                <m:rPr>
                  <m:sty m:val="p"/>
                  <m:scr m:val="double-struck"/>
                </m:rPr>
                <m:t>I</m:t>
              </m:r>
            </m:e>
          </m:nary>
          <m:d>
            <m:dPr>
              <m:sepChr m:val=""/>
            </m:dPr>
            <m:e>
              <m:sSubSup>
                <m:sSubSupPr/>
                <m:e>
                  <m:r>
                    <m:rPr/>
                    <m:t>r</m:t>
                  </m:r>
                </m:e>
                <m:sub>
                  <m:r>
                    <m:rPr/>
                    <m:t>i</m:t>
                  </m:r>
                </m:sub>
                <m:sup>
                  <m:d>
                    <m:dPr>
                      <m:sepChr m:val=""/>
                    </m:dPr>
                    <m:e>
                      <m:r>
                        <m:rPr/>
                        <m:t>1</m:t>
                      </m:r>
                    </m:e>
                  </m:d>
                </m:sup>
              </m:sSubSup>
              <m:r>
                <m:rPr>
                  <m:sty m:val="p"/>
                </m:rPr>
                <m:t>∈</m:t>
              </m:r>
              <m:sSub>
                <m:sSubPr/>
                <m:e>
                  <m:r>
                    <m:rPr/>
                    <m:t>T</m:t>
                  </m:r>
                </m:e>
                <m:sub>
                  <m:r>
                    <m:rPr/>
                    <m:t>i</m:t>
                  </m:r>
                </m:sub>
              </m:sSub>
            </m:e>
          </m:d>
        </m:oMath>
      </m:oMathPara>
    </w:p>
    <w:p w14:paraId="3232CC64">
      <w:pPr>
        <w:pStyle w:val="23"/>
        <w:keepNext/>
        <w:spacing w:before="60" w:after="0"/>
        <w:ind w:firstLine="0"/>
        <w:jc w:val="left"/>
      </w:pPr>
      <w:r>
        <w:rPr>
          <w:rFonts w:ascii="Times New Roman" w:hAnsi="Times New Roman" w:eastAsia="宋体" w:cs="Times New Roman"/>
          <w:sz w:val="24"/>
        </w:rPr>
        <w:t>Top-3 候选覆盖率</w:t>
      </w:r>
    </w:p>
    <w:p w14:paraId="1E4FF545">
      <w:pPr>
        <w:pStyle w:val="3"/>
        <w:keepLines/>
        <w:spacing w:before="60" w:after="60" w:line="240" w:lineRule="auto"/>
        <w:ind w:firstLine="0"/>
        <w:jc w:val="center"/>
      </w:pPr>
      <m:oMathPara>
        <m:oMathParaPr>
          <m:jc m:val="center"/>
        </m:oMathParaPr>
        <m:oMath>
          <m:r>
            <m:rPr>
              <m:nor/>
              <m:sty m:val="p"/>
            </m:rPr>
            <w:rPr>
              <w:b w:val="0"/>
              <w:i w:val="0"/>
            </w:rPr>
            <m:t>Coverage</m:t>
          </m:r>
          <m:r>
            <m:rPr>
              <m:sty m:val="p"/>
            </m:rPr>
            <m:t>@</m:t>
          </m:r>
          <m:r>
            <m:rPr/>
            <m:t>3</m:t>
          </m:r>
          <m:r>
            <m:rPr>
              <m:sty m:val="p"/>
            </m:rPr>
            <m:t>=</m:t>
          </m:r>
          <m:f>
            <m:fPr/>
            <m:num>
              <m:r>
                <m:rPr/>
                <m:t>1</m:t>
              </m:r>
            </m:num>
            <m:den>
              <m:r>
                <m:rPr/>
                <m:t>N</m:t>
              </m:r>
            </m:den>
          </m:f>
          <m:nary>
            <m:naryPr>
              <m:chr m:val="∑"/>
              <m:limLoc m:val="undOvr"/>
            </m:naryPr>
            <m:sub>
              <m:r>
                <m:rPr/>
                <m:t>i</m:t>
              </m:r>
              <m:r>
                <m:rPr>
                  <m:sty m:val="p"/>
                </m:rPr>
                <m:t>=</m:t>
              </m:r>
              <m:r>
                <m:rPr/>
                <m:t>1</m:t>
              </m:r>
            </m:sub>
            <m:sup>
              <m:r>
                <m:rPr/>
                <m:t>N</m:t>
              </m:r>
            </m:sup>
            <m:e>
              <m:f>
                <m:fPr/>
                <m:num>
                  <m:d>
                    <m:dPr>
                      <m:begChr m:val="|"/>
                      <m:sepChr m:val=""/>
                      <m:endChr m:val="|"/>
                    </m:dPr>
                    <m:e>
                      <m:sSub>
                        <m:sSubPr/>
                        <m:e>
                          <m:acc>
                            <m:accPr/>
                            <m:e>
                              <m:r>
                                <m:rPr/>
                                <m:t>R</m:t>
                              </m:r>
                            </m:e>
                          </m:acc>
                        </m:e>
                        <m:sub>
                          <m:r>
                            <m:rPr/>
                            <m:t>i</m:t>
                          </m:r>
                        </m:sub>
                      </m:sSub>
                      <m:r>
                        <m:rPr>
                          <m:sty m:val="p"/>
                        </m:rPr>
                        <m:t>∩</m:t>
                      </m:r>
                      <m:sSubSup>
                        <m:sSubSupPr/>
                        <m:e>
                          <m:r>
                            <m:rPr/>
                            <m:t>R</m:t>
                          </m:r>
                        </m:e>
                        <m:sub>
                          <m:r>
                            <m:rPr/>
                            <m:t>i</m:t>
                          </m:r>
                        </m:sub>
                        <m:sup>
                          <m:r>
                            <m:rPr/>
                            <m:t>3</m:t>
                          </m:r>
                        </m:sup>
                      </m:sSubSup>
                    </m:e>
                  </m:d>
                </m:num>
                <m:den>
                  <m:r>
                    <m:rPr>
                      <m:sty m:val="p"/>
                    </m:rPr>
                    <m:t>min</m:t>
                  </m:r>
                  <m:d>
                    <m:dPr>
                      <m:sepChr m:val=""/>
                    </m:dPr>
                    <m:e>
                      <m:r>
                        <m:rPr/>
                        <m:t>3</m:t>
                      </m:r>
                      <m:r>
                        <m:rPr>
                          <m:sty m:val="p"/>
                        </m:rPr>
                        <m:t>,</m:t>
                      </m:r>
                      <m:d>
                        <m:dPr>
                          <m:begChr m:val="|"/>
                          <m:sepChr m:val=""/>
                          <m:endChr m:val="|"/>
                        </m:dPr>
                        <m:e>
                          <m:sSubSup>
                            <m:sSubSupPr/>
                            <m:e>
                              <m:r>
                                <m:rPr/>
                                <m:t>R</m:t>
                              </m:r>
                            </m:e>
                            <m:sub>
                              <m:r>
                                <m:rPr/>
                                <m:t>i</m:t>
                              </m:r>
                            </m:sub>
                            <m:sup>
                              <m:r>
                                <m:rPr/>
                                <m:t>3</m:t>
                              </m:r>
                            </m:sup>
                          </m:sSubSup>
                        </m:e>
                      </m:d>
                    </m:e>
                  </m:d>
                </m:den>
              </m:f>
            </m:e>
          </m:nary>
        </m:oMath>
      </m:oMathPara>
    </w:p>
    <w:p w14:paraId="6E0B10B4">
      <w:pPr>
        <w:pStyle w:val="23"/>
        <w:keepNext/>
        <w:spacing w:before="60" w:after="0"/>
        <w:ind w:firstLine="0"/>
        <w:jc w:val="left"/>
      </w:pPr>
      <w:r>
        <w:rPr>
          <w:rFonts w:ascii="Times New Roman" w:hAnsi="Times New Roman" w:eastAsia="宋体" w:cs="Times New Roman"/>
          <w:sz w:val="24"/>
        </w:rPr>
        <w:t>引用精确率</w:t>
      </w:r>
    </w:p>
    <w:p w14:paraId="2DC2DF5A">
      <w:pPr>
        <w:pStyle w:val="3"/>
        <w:keepLines/>
        <w:spacing w:before="60" w:after="60" w:line="240" w:lineRule="auto"/>
        <w:ind w:firstLine="0"/>
        <w:jc w:val="center"/>
      </w:pPr>
      <m:oMathPara>
        <m:oMathParaPr>
          <m:jc m:val="center"/>
        </m:oMathParaPr>
        <m:oMath>
          <m:sSub>
            <m:sSubPr/>
            <m:e>
              <m:r>
                <m:rPr/>
                <m:t>P</m:t>
              </m:r>
            </m:e>
            <m:sub>
              <m:r>
                <m:rPr>
                  <m:nor/>
                  <m:sty m:val="p"/>
                </m:rPr>
                <w:rPr>
                  <w:b w:val="0"/>
                  <w:i w:val="0"/>
                </w:rPr>
                <m:t>citation</m:t>
              </m:r>
            </m:sub>
          </m:sSub>
          <m:r>
            <m:rPr>
              <m:sty m:val="p"/>
            </m:rPr>
            <m:t>=</m:t>
          </m:r>
          <m:f>
            <m:fPr/>
            <m:num>
              <m:r>
                <m:rPr/>
                <m:t>1</m:t>
              </m:r>
            </m:num>
            <m:den>
              <m:r>
                <m:rPr/>
                <m:t>N</m:t>
              </m:r>
            </m:den>
          </m:f>
          <m:nary>
            <m:naryPr>
              <m:chr m:val="∑"/>
              <m:limLoc m:val="undOvr"/>
            </m:naryPr>
            <m:sub>
              <m:r>
                <m:rPr/>
                <m:t>i</m:t>
              </m:r>
              <m:r>
                <m:rPr>
                  <m:sty m:val="p"/>
                </m:rPr>
                <m:t>=</m:t>
              </m:r>
              <m:r>
                <m:rPr/>
                <m:t>1</m:t>
              </m:r>
            </m:sub>
            <m:sup>
              <m:r>
                <m:rPr/>
                <m:t>N</m:t>
              </m:r>
            </m:sup>
            <m:e>
              <m:f>
                <m:fPr/>
                <m:num>
                  <m:d>
                    <m:dPr>
                      <m:begChr m:val="|"/>
                      <m:sepChr m:val=""/>
                      <m:endChr m:val="|"/>
                    </m:dPr>
                    <m:e>
                      <m:sSub>
                        <m:sSubPr/>
                        <m:e>
                          <m:acc>
                            <m:accPr/>
                            <m:e>
                              <m:r>
                                <m:rPr/>
                                <m:t>C</m:t>
                              </m:r>
                            </m:e>
                          </m:acc>
                        </m:e>
                        <m:sub>
                          <m:r>
                            <m:rPr/>
                            <m:t>i</m:t>
                          </m:r>
                        </m:sub>
                      </m:sSub>
                      <m:r>
                        <m:rPr>
                          <m:sty m:val="p"/>
                        </m:rPr>
                        <m:t>∩</m:t>
                      </m:r>
                      <m:sSub>
                        <m:sSubPr/>
                        <m:e>
                          <m:r>
                            <m:rPr/>
                            <m:t>C</m:t>
                          </m:r>
                        </m:e>
                        <m:sub>
                          <m:r>
                            <m:rPr/>
                            <m:t>i</m:t>
                          </m:r>
                        </m:sub>
                      </m:sSub>
                    </m:e>
                  </m:d>
                </m:num>
                <m:den>
                  <m:d>
                    <m:dPr>
                      <m:begChr m:val="|"/>
                      <m:sepChr m:val=""/>
                      <m:endChr m:val="|"/>
                    </m:dPr>
                    <m:e>
                      <m:sSub>
                        <m:sSubPr/>
                        <m:e>
                          <m:acc>
                            <m:accPr/>
                            <m:e>
                              <m:r>
                                <m:rPr/>
                                <m:t>C</m:t>
                              </m:r>
                            </m:e>
                          </m:acc>
                        </m:e>
                        <m:sub>
                          <m:r>
                            <m:rPr/>
                            <m:t>i</m:t>
                          </m:r>
                        </m:sub>
                      </m:sSub>
                    </m:e>
                  </m:d>
                </m:den>
              </m:f>
            </m:e>
          </m:nary>
        </m:oMath>
      </m:oMathPara>
    </w:p>
    <w:p w14:paraId="52A0EDFF">
      <w:pPr>
        <w:pStyle w:val="23"/>
        <w:keepNext/>
        <w:spacing w:before="60" w:after="0"/>
        <w:ind w:firstLine="0"/>
        <w:jc w:val="left"/>
      </w:pPr>
      <w:r>
        <w:rPr>
          <w:rFonts w:ascii="Times New Roman" w:hAnsi="Times New Roman" w:eastAsia="宋体" w:cs="Times New Roman"/>
          <w:sz w:val="24"/>
        </w:rPr>
        <w:t>传感器幻觉抑制分</w:t>
      </w:r>
    </w:p>
    <w:p w14:paraId="3467A5BA">
      <w:pPr>
        <w:pStyle w:val="3"/>
        <w:keepLines/>
        <w:spacing w:before="60" w:after="60" w:line="240" w:lineRule="auto"/>
        <w:ind w:firstLine="0"/>
        <w:jc w:val="center"/>
      </w:pPr>
      <m:oMathPara>
        <m:oMathParaPr>
          <m:jc m:val="center"/>
        </m:oMathParaPr>
        <m:oMath>
          <m:sSub>
            <m:sSubPr/>
            <m:e>
              <m:r>
                <m:rPr/>
                <m:t>S</m:t>
              </m:r>
            </m:e>
            <m:sub>
              <m:r>
                <m:rPr>
                  <m:nor/>
                  <m:sty m:val="p"/>
                </m:rPr>
                <w:rPr>
                  <w:b w:val="0"/>
                  <w:i w:val="0"/>
                </w:rPr>
                <m:t>hall</m:t>
              </m:r>
            </m:sub>
          </m:sSub>
          <m:r>
            <m:rPr>
              <m:sty m:val="p"/>
            </m:rPr>
            <m:t>=</m:t>
          </m:r>
          <m:f>
            <m:fPr/>
            <m:num>
              <m:r>
                <m:rPr/>
                <m:t>1</m:t>
              </m:r>
            </m:num>
            <m:den>
              <m:r>
                <m:rPr/>
                <m:t>1</m:t>
              </m:r>
              <m:r>
                <m:rPr>
                  <m:sty m:val="p"/>
                </m:rPr>
                <m:t>+</m:t>
              </m:r>
              <m:acc>
                <m:accPr>
                  <m:chr m:val="‾"/>
                </m:accPr>
                <m:e>
                  <m:r>
                    <m:rPr/>
                    <m:t>H</m:t>
                  </m:r>
                </m:e>
              </m:acc>
            </m:den>
          </m:f>
        </m:oMath>
      </m:oMathPara>
    </w:p>
    <w:p w14:paraId="5254FBC4">
      <w:pPr>
        <w:pStyle w:val="23"/>
        <w:keepNext/>
        <w:spacing w:before="60" w:after="0"/>
        <w:ind w:firstLine="0"/>
        <w:jc w:val="left"/>
      </w:pPr>
      <w:r>
        <w:rPr>
          <w:rFonts w:ascii="Times New Roman" w:hAnsi="Times New Roman" w:eastAsia="宋体" w:cs="Times New Roman"/>
          <w:sz w:val="24"/>
        </w:rPr>
        <w:t>综合质量得分定义为：</w:t>
      </w:r>
    </w:p>
    <w:p w14:paraId="0E138433">
      <w:pPr>
        <w:pStyle w:val="3"/>
        <w:keepLines/>
        <w:spacing w:before="60" w:after="60" w:line="240" w:lineRule="auto"/>
        <w:ind w:firstLine="0"/>
        <w:jc w:val="center"/>
      </w:pPr>
      <m:oMathPara>
        <m:oMathParaPr>
          <m:jc m:val="center"/>
        </m:oMathParaPr>
        <m:oMath>
          <m:r>
            <m:rPr/>
            <m:t>Q</m:t>
          </m:r>
          <m:r>
            <m:rPr>
              <m:sty m:val="p"/>
            </m:rPr>
            <m:t>=</m:t>
          </m:r>
          <m:r>
            <m:rPr/>
            <m:t>0.25</m:t>
          </m:r>
          <m:sSub>
            <m:sSubPr/>
            <m:e>
              <m:r>
                <m:rPr/>
                <m:t>C</m:t>
              </m:r>
            </m:e>
            <m:sub>
              <m:r>
                <m:rPr>
                  <m:nor/>
                  <m:sty m:val="p"/>
                </m:rPr>
                <w:rPr>
                  <w:b w:val="0"/>
                  <w:i w:val="0"/>
                </w:rPr>
                <m:t>schema</m:t>
              </m:r>
            </m:sub>
          </m:sSub>
          <m:r>
            <m:rPr>
              <m:sty m:val="p"/>
            </m:rPr>
            <m:t>+</m:t>
          </m:r>
          <m:r>
            <m:rPr/>
            <m:t>0.25</m:t>
          </m:r>
          <m:sSub>
            <m:sSubPr/>
            <m:e>
              <m:r>
                <m:rPr/>
                <m:t>A</m:t>
              </m:r>
            </m:e>
            <m:sub>
              <m:r>
                <m:rPr>
                  <m:nor/>
                  <m:sty m:val="p"/>
                </m:rPr>
                <w:rPr>
                  <w:b w:val="0"/>
                  <w:i w:val="0"/>
                </w:rPr>
                <m:t>Top1</m:t>
              </m:r>
            </m:sub>
          </m:sSub>
          <m:r>
            <m:rPr>
              <m:sty m:val="p"/>
            </m:rPr>
            <m:t>+</m:t>
          </m:r>
          <m:r>
            <m:rPr/>
            <m:t>0.20</m:t>
          </m:r>
          <m:r>
            <m:rPr>
              <m:nor/>
              <m:sty m:val="p"/>
            </m:rPr>
            <w:rPr>
              <w:b w:val="0"/>
              <w:i w:val="0"/>
            </w:rPr>
            <m:t>Coverage</m:t>
          </m:r>
          <m:r>
            <m:rPr>
              <m:sty m:val="p"/>
            </m:rPr>
            <m:t>@</m:t>
          </m:r>
          <m:r>
            <m:rPr/>
            <m:t>3</m:t>
          </m:r>
          <m:r>
            <m:rPr>
              <m:sty m:val="p"/>
            </m:rPr>
            <m:t>+</m:t>
          </m:r>
          <m:r>
            <m:rPr/>
            <m:t>0.20</m:t>
          </m:r>
          <m:sSub>
            <m:sSubPr/>
            <m:e>
              <m:r>
                <m:rPr/>
                <m:t>P</m:t>
              </m:r>
            </m:e>
            <m:sub>
              <m:r>
                <m:rPr>
                  <m:nor/>
                  <m:sty m:val="p"/>
                </m:rPr>
                <w:rPr>
                  <w:b w:val="0"/>
                  <w:i w:val="0"/>
                </w:rPr>
                <m:t>citation</m:t>
              </m:r>
            </m:sub>
          </m:sSub>
          <m:r>
            <m:rPr>
              <m:sty m:val="p"/>
            </m:rPr>
            <m:t>+</m:t>
          </m:r>
          <m:r>
            <m:rPr/>
            <m:t>0.10</m:t>
          </m:r>
          <m:sSub>
            <m:sSubPr/>
            <m:e>
              <m:r>
                <m:rPr/>
                <m:t>S</m:t>
              </m:r>
            </m:e>
            <m:sub>
              <m:r>
                <m:rPr>
                  <m:nor/>
                  <m:sty m:val="p"/>
                </m:rPr>
                <w:rPr>
                  <w:b w:val="0"/>
                  <w:i w:val="0"/>
                </w:rPr>
                <m:t>hall</m:t>
              </m:r>
            </m:sub>
          </m:sSub>
        </m:oMath>
      </m:oMathPara>
    </w:p>
    <w:p w14:paraId="312CE11E">
      <w:pPr>
        <w:pStyle w:val="23"/>
        <w:widowControl/>
        <w:spacing w:before="0" w:after="0" w:line="360" w:lineRule="auto"/>
        <w:ind w:firstLine="482"/>
        <w:jc w:val="both"/>
      </w:pPr>
      <w:r>
        <w:rPr>
          <w:rFonts w:ascii="Times New Roman" w:hAnsi="Times New Roman" w:eastAsia="宋体" w:cs="Times New Roman"/>
          <w:sz w:val="24"/>
        </w:rPr>
        <w:t>实验结果如表 2-1、表 2-2 所示。</w:t>
      </w:r>
    </w:p>
    <w:p w14:paraId="0876DE35">
      <w:pPr>
        <w:pStyle w:val="72"/>
        <w:jc w:val="center"/>
      </w:pPr>
      <w:r>
        <w:rPr>
          <w:rFonts w:ascii="Times New Roman" w:hAnsi="Times New Roman" w:eastAsia="宋体" w:cs="Times New Roman"/>
          <w:b/>
          <w:bCs/>
          <w:sz w:val="21"/>
        </w:rPr>
        <w:t>表 2-1 各模型证据忠实度与结构化指标对比</w:t>
      </w:r>
    </w:p>
    <w:tbl>
      <w:tblPr>
        <w:tblStyle w:val="30"/>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4"/>
        <w:gridCol w:w="1584"/>
        <w:gridCol w:w="1584"/>
        <w:gridCol w:w="1584"/>
        <w:gridCol w:w="1584"/>
      </w:tblGrid>
      <w:tr w14:paraId="0A7B8A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tblHeader/>
          <w:jc w:val="center"/>
        </w:trPr>
        <w:tc>
          <w:tcPr>
            <w:tcW w:w="2381" w:type="dxa"/>
            <w:tcBorders>
              <w:bottom w:val="single" w:color="000000" w:sz="6" w:space="0"/>
            </w:tcBorders>
            <w:tcMar>
              <w:top w:w="90" w:type="dxa"/>
              <w:left w:w="100" w:type="dxa"/>
              <w:bottom w:w="90" w:type="dxa"/>
              <w:right w:w="100" w:type="dxa"/>
            </w:tcMar>
            <w:vAlign w:val="center"/>
          </w:tcPr>
          <w:p w14:paraId="3BF66E93">
            <w:pPr>
              <w:pStyle w:val="24"/>
              <w:spacing w:before="0" w:after="0" w:line="240" w:lineRule="auto"/>
              <w:ind w:firstLine="0"/>
              <w:jc w:val="center"/>
            </w:pPr>
            <w:r>
              <w:rPr>
                <w:rFonts w:ascii="Times New Roman" w:hAnsi="Times New Roman" w:eastAsia="宋体" w:cs="Times New Roman"/>
                <w:b/>
                <w:sz w:val="19"/>
              </w:rPr>
              <w:t>模型</w:t>
            </w:r>
          </w:p>
        </w:tc>
        <w:tc>
          <w:tcPr>
            <w:tcW w:w="1474" w:type="dxa"/>
            <w:tcBorders>
              <w:bottom w:val="single" w:color="000000" w:sz="6" w:space="0"/>
            </w:tcBorders>
            <w:tcMar>
              <w:top w:w="90" w:type="dxa"/>
              <w:left w:w="100" w:type="dxa"/>
              <w:bottom w:w="90" w:type="dxa"/>
              <w:right w:w="100" w:type="dxa"/>
            </w:tcMar>
            <w:vAlign w:val="center"/>
          </w:tcPr>
          <w:p w14:paraId="498EE474">
            <w:pPr>
              <w:pStyle w:val="24"/>
              <w:spacing w:before="0" w:after="0" w:line="240" w:lineRule="auto"/>
              <w:ind w:firstLine="0"/>
              <w:jc w:val="center"/>
            </w:pPr>
            <w:r>
              <w:rPr>
                <w:rFonts w:ascii="Times New Roman" w:hAnsi="Times New Roman" w:eastAsia="宋体" w:cs="Times New Roman"/>
                <w:b/>
                <w:sz w:val="19"/>
              </w:rPr>
              <w:t>Schema完整率</w:t>
            </w:r>
          </w:p>
        </w:tc>
        <w:tc>
          <w:tcPr>
            <w:tcW w:w="1474" w:type="dxa"/>
            <w:tcBorders>
              <w:bottom w:val="single" w:color="000000" w:sz="6" w:space="0"/>
            </w:tcBorders>
            <w:tcMar>
              <w:top w:w="90" w:type="dxa"/>
              <w:left w:w="100" w:type="dxa"/>
              <w:bottom w:w="90" w:type="dxa"/>
              <w:right w:w="100" w:type="dxa"/>
            </w:tcMar>
            <w:vAlign w:val="center"/>
          </w:tcPr>
          <w:p w14:paraId="4DD9ECF7">
            <w:pPr>
              <w:pStyle w:val="24"/>
              <w:spacing w:before="0" w:after="0" w:line="240" w:lineRule="auto"/>
              <w:ind w:firstLine="0"/>
              <w:jc w:val="center"/>
            </w:pPr>
            <w:r>
              <w:rPr>
                <w:rFonts w:ascii="Times New Roman" w:hAnsi="Times New Roman" w:eastAsia="宋体" w:cs="Times New Roman"/>
                <w:b/>
                <w:sz w:val="19"/>
              </w:rPr>
              <w:t>Top-3覆盖率</w:t>
            </w:r>
          </w:p>
        </w:tc>
        <w:tc>
          <w:tcPr>
            <w:tcW w:w="1474" w:type="dxa"/>
            <w:tcBorders>
              <w:bottom w:val="single" w:color="000000" w:sz="6" w:space="0"/>
            </w:tcBorders>
            <w:tcMar>
              <w:top w:w="90" w:type="dxa"/>
              <w:left w:w="100" w:type="dxa"/>
              <w:bottom w:w="90" w:type="dxa"/>
              <w:right w:w="100" w:type="dxa"/>
            </w:tcMar>
            <w:vAlign w:val="center"/>
          </w:tcPr>
          <w:p w14:paraId="1007810C">
            <w:pPr>
              <w:pStyle w:val="24"/>
              <w:spacing w:before="0" w:after="0" w:line="240" w:lineRule="auto"/>
              <w:ind w:firstLine="0"/>
              <w:jc w:val="center"/>
            </w:pPr>
            <w:r>
              <w:rPr>
                <w:rFonts w:ascii="Times New Roman" w:hAnsi="Times New Roman" w:eastAsia="宋体" w:cs="Times New Roman"/>
                <w:b/>
                <w:sz w:val="19"/>
              </w:rPr>
              <w:t>Top-1提及率</w:t>
            </w:r>
          </w:p>
        </w:tc>
        <w:tc>
          <w:tcPr>
            <w:tcW w:w="1474" w:type="dxa"/>
            <w:tcBorders>
              <w:bottom w:val="single" w:color="000000" w:sz="6" w:space="0"/>
            </w:tcBorders>
            <w:tcMar>
              <w:top w:w="90" w:type="dxa"/>
              <w:left w:w="100" w:type="dxa"/>
              <w:bottom w:w="90" w:type="dxa"/>
              <w:right w:w="100" w:type="dxa"/>
            </w:tcMar>
            <w:vAlign w:val="center"/>
          </w:tcPr>
          <w:p w14:paraId="2E67540C">
            <w:pPr>
              <w:pStyle w:val="24"/>
              <w:spacing w:before="0" w:after="0" w:line="240" w:lineRule="auto"/>
              <w:ind w:firstLine="0"/>
              <w:jc w:val="center"/>
            </w:pPr>
            <w:r>
              <w:rPr>
                <w:rFonts w:ascii="Times New Roman" w:hAnsi="Times New Roman" w:eastAsia="宋体" w:cs="Times New Roman"/>
                <w:b/>
                <w:sz w:val="19"/>
              </w:rPr>
              <w:t>引用精确率</w:t>
            </w:r>
          </w:p>
        </w:tc>
      </w:tr>
      <w:tr w14:paraId="0740AD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381" w:type="dxa"/>
            <w:tcMar>
              <w:top w:w="90" w:type="dxa"/>
              <w:left w:w="100" w:type="dxa"/>
              <w:bottom w:w="90" w:type="dxa"/>
              <w:right w:w="100" w:type="dxa"/>
            </w:tcMar>
            <w:vAlign w:val="center"/>
          </w:tcPr>
          <w:p w14:paraId="026CC386">
            <w:pPr>
              <w:pStyle w:val="24"/>
              <w:spacing w:before="0" w:after="0" w:line="240" w:lineRule="auto"/>
              <w:ind w:firstLine="0"/>
              <w:jc w:val="center"/>
            </w:pPr>
            <w:r>
              <w:rPr>
                <w:rFonts w:ascii="Times New Roman" w:hAnsi="Times New Roman" w:eastAsia="宋体" w:cs="Times New Roman"/>
                <w:b w:val="0"/>
                <w:sz w:val="19"/>
              </w:rPr>
              <w:t>规则 Agent</w:t>
            </w:r>
          </w:p>
        </w:tc>
        <w:tc>
          <w:tcPr>
            <w:tcW w:w="1474" w:type="dxa"/>
            <w:tcMar>
              <w:top w:w="90" w:type="dxa"/>
              <w:left w:w="100" w:type="dxa"/>
              <w:bottom w:w="90" w:type="dxa"/>
              <w:right w:w="100" w:type="dxa"/>
            </w:tcMar>
            <w:vAlign w:val="center"/>
          </w:tcPr>
          <w:p w14:paraId="4A34E70E">
            <w:pPr>
              <w:pStyle w:val="24"/>
              <w:spacing w:before="0" w:after="0" w:line="240" w:lineRule="auto"/>
              <w:ind w:firstLine="0"/>
              <w:jc w:val="center"/>
            </w:pPr>
            <w:r>
              <w:rPr>
                <w:rFonts w:ascii="Times New Roman" w:hAnsi="Times New Roman" w:eastAsia="宋体" w:cs="Times New Roman"/>
                <w:b w:val="0"/>
                <w:sz w:val="19"/>
              </w:rPr>
              <w:t>1.00</w:t>
            </w:r>
          </w:p>
        </w:tc>
        <w:tc>
          <w:tcPr>
            <w:tcW w:w="1474" w:type="dxa"/>
            <w:tcMar>
              <w:top w:w="90" w:type="dxa"/>
              <w:left w:w="100" w:type="dxa"/>
              <w:bottom w:w="90" w:type="dxa"/>
              <w:right w:w="100" w:type="dxa"/>
            </w:tcMar>
            <w:vAlign w:val="center"/>
          </w:tcPr>
          <w:p w14:paraId="364D788C">
            <w:pPr>
              <w:pStyle w:val="24"/>
              <w:spacing w:before="0" w:after="0" w:line="240" w:lineRule="auto"/>
              <w:ind w:firstLine="0"/>
              <w:jc w:val="center"/>
            </w:pPr>
            <w:r>
              <w:rPr>
                <w:rFonts w:ascii="Times New Roman" w:hAnsi="Times New Roman" w:eastAsia="宋体" w:cs="Times New Roman"/>
                <w:b w:val="0"/>
                <w:sz w:val="19"/>
              </w:rPr>
              <w:t>1.00</w:t>
            </w:r>
          </w:p>
        </w:tc>
        <w:tc>
          <w:tcPr>
            <w:tcW w:w="1474" w:type="dxa"/>
            <w:tcMar>
              <w:top w:w="90" w:type="dxa"/>
              <w:left w:w="100" w:type="dxa"/>
              <w:bottom w:w="90" w:type="dxa"/>
              <w:right w:w="100" w:type="dxa"/>
            </w:tcMar>
            <w:vAlign w:val="center"/>
          </w:tcPr>
          <w:p w14:paraId="0E1D0DDE">
            <w:pPr>
              <w:pStyle w:val="24"/>
              <w:spacing w:before="0" w:after="0" w:line="240" w:lineRule="auto"/>
              <w:ind w:firstLine="0"/>
              <w:jc w:val="center"/>
            </w:pPr>
            <w:r>
              <w:rPr>
                <w:rFonts w:ascii="Times New Roman" w:hAnsi="Times New Roman" w:eastAsia="宋体" w:cs="Times New Roman"/>
                <w:b w:val="0"/>
                <w:sz w:val="19"/>
              </w:rPr>
              <w:t>1.00</w:t>
            </w:r>
          </w:p>
        </w:tc>
        <w:tc>
          <w:tcPr>
            <w:tcW w:w="1474" w:type="dxa"/>
            <w:tcMar>
              <w:top w:w="90" w:type="dxa"/>
              <w:left w:w="100" w:type="dxa"/>
              <w:bottom w:w="90" w:type="dxa"/>
              <w:right w:w="100" w:type="dxa"/>
            </w:tcMar>
            <w:vAlign w:val="center"/>
          </w:tcPr>
          <w:p w14:paraId="12226BCD">
            <w:pPr>
              <w:pStyle w:val="24"/>
              <w:spacing w:before="0" w:after="0" w:line="240" w:lineRule="auto"/>
              <w:ind w:firstLine="0"/>
              <w:jc w:val="center"/>
            </w:pPr>
            <w:r>
              <w:rPr>
                <w:rFonts w:ascii="Times New Roman" w:hAnsi="Times New Roman" w:eastAsia="宋体" w:cs="Times New Roman"/>
                <w:b w:val="0"/>
                <w:sz w:val="19"/>
              </w:rPr>
              <w:t>1.00</w:t>
            </w:r>
          </w:p>
        </w:tc>
      </w:tr>
      <w:tr w14:paraId="479924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381" w:type="dxa"/>
            <w:tcMar>
              <w:top w:w="90" w:type="dxa"/>
              <w:left w:w="100" w:type="dxa"/>
              <w:bottom w:w="90" w:type="dxa"/>
              <w:right w:w="100" w:type="dxa"/>
            </w:tcMar>
            <w:vAlign w:val="center"/>
          </w:tcPr>
          <w:p w14:paraId="06F679FD">
            <w:pPr>
              <w:pStyle w:val="24"/>
              <w:spacing w:before="0" w:after="0" w:line="240" w:lineRule="auto"/>
              <w:ind w:firstLine="0"/>
              <w:jc w:val="center"/>
            </w:pPr>
            <w:r>
              <w:rPr>
                <w:rFonts w:ascii="Times New Roman" w:hAnsi="Times New Roman" w:eastAsia="宋体" w:cs="Times New Roman"/>
                <w:b w:val="0"/>
                <w:sz w:val="19"/>
              </w:rPr>
              <w:t>Qwen-Flash</w:t>
            </w:r>
          </w:p>
        </w:tc>
        <w:tc>
          <w:tcPr>
            <w:tcW w:w="1474" w:type="dxa"/>
            <w:tcMar>
              <w:top w:w="90" w:type="dxa"/>
              <w:left w:w="100" w:type="dxa"/>
              <w:bottom w:w="90" w:type="dxa"/>
              <w:right w:w="100" w:type="dxa"/>
            </w:tcMar>
            <w:vAlign w:val="center"/>
          </w:tcPr>
          <w:p w14:paraId="4F0E1968">
            <w:pPr>
              <w:pStyle w:val="24"/>
              <w:spacing w:before="0" w:after="0" w:line="240" w:lineRule="auto"/>
              <w:ind w:firstLine="0"/>
              <w:jc w:val="center"/>
            </w:pPr>
            <w:r>
              <w:rPr>
                <w:rFonts w:ascii="Times New Roman" w:hAnsi="Times New Roman" w:eastAsia="宋体" w:cs="Times New Roman"/>
                <w:b w:val="0"/>
                <w:sz w:val="19"/>
              </w:rPr>
              <w:t>1.00</w:t>
            </w:r>
          </w:p>
        </w:tc>
        <w:tc>
          <w:tcPr>
            <w:tcW w:w="1474" w:type="dxa"/>
            <w:tcMar>
              <w:top w:w="90" w:type="dxa"/>
              <w:left w:w="100" w:type="dxa"/>
              <w:bottom w:w="90" w:type="dxa"/>
              <w:right w:w="100" w:type="dxa"/>
            </w:tcMar>
            <w:vAlign w:val="center"/>
          </w:tcPr>
          <w:p w14:paraId="01AC5B8C">
            <w:pPr>
              <w:pStyle w:val="24"/>
              <w:spacing w:before="0" w:after="0" w:line="240" w:lineRule="auto"/>
              <w:ind w:firstLine="0"/>
              <w:jc w:val="center"/>
            </w:pPr>
            <w:r>
              <w:rPr>
                <w:rFonts w:ascii="Times New Roman" w:hAnsi="Times New Roman" w:eastAsia="宋体" w:cs="Times New Roman"/>
                <w:b w:val="0"/>
                <w:sz w:val="19"/>
              </w:rPr>
              <w:t>1.00</w:t>
            </w:r>
          </w:p>
        </w:tc>
        <w:tc>
          <w:tcPr>
            <w:tcW w:w="1474" w:type="dxa"/>
            <w:tcMar>
              <w:top w:w="90" w:type="dxa"/>
              <w:left w:w="100" w:type="dxa"/>
              <w:bottom w:w="90" w:type="dxa"/>
              <w:right w:w="100" w:type="dxa"/>
            </w:tcMar>
            <w:vAlign w:val="center"/>
          </w:tcPr>
          <w:p w14:paraId="2FBA516F">
            <w:pPr>
              <w:pStyle w:val="24"/>
              <w:spacing w:before="0" w:after="0" w:line="240" w:lineRule="auto"/>
              <w:ind w:firstLine="0"/>
              <w:jc w:val="center"/>
            </w:pPr>
            <w:r>
              <w:rPr>
                <w:rFonts w:ascii="Times New Roman" w:hAnsi="Times New Roman" w:eastAsia="宋体" w:cs="Times New Roman"/>
                <w:b w:val="0"/>
                <w:sz w:val="19"/>
              </w:rPr>
              <w:t>0.67</w:t>
            </w:r>
          </w:p>
        </w:tc>
        <w:tc>
          <w:tcPr>
            <w:tcW w:w="1474" w:type="dxa"/>
            <w:tcMar>
              <w:top w:w="90" w:type="dxa"/>
              <w:left w:w="100" w:type="dxa"/>
              <w:bottom w:w="90" w:type="dxa"/>
              <w:right w:w="100" w:type="dxa"/>
            </w:tcMar>
            <w:vAlign w:val="center"/>
          </w:tcPr>
          <w:p w14:paraId="30288D90">
            <w:pPr>
              <w:pStyle w:val="24"/>
              <w:spacing w:before="0" w:after="0" w:line="240" w:lineRule="auto"/>
              <w:ind w:firstLine="0"/>
              <w:jc w:val="center"/>
            </w:pPr>
            <w:r>
              <w:rPr>
                <w:rFonts w:ascii="Times New Roman" w:hAnsi="Times New Roman" w:eastAsia="宋体" w:cs="Times New Roman"/>
                <w:b w:val="0"/>
                <w:sz w:val="19"/>
              </w:rPr>
              <w:t>1.00</w:t>
            </w:r>
          </w:p>
        </w:tc>
      </w:tr>
      <w:tr w14:paraId="23D0CA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381" w:type="dxa"/>
            <w:tcMar>
              <w:top w:w="90" w:type="dxa"/>
              <w:left w:w="100" w:type="dxa"/>
              <w:bottom w:w="90" w:type="dxa"/>
              <w:right w:w="100" w:type="dxa"/>
            </w:tcMar>
            <w:vAlign w:val="center"/>
          </w:tcPr>
          <w:p w14:paraId="30918204">
            <w:pPr>
              <w:pStyle w:val="24"/>
              <w:spacing w:before="0" w:after="0" w:line="240" w:lineRule="auto"/>
              <w:ind w:firstLine="0"/>
              <w:jc w:val="center"/>
            </w:pPr>
            <w:r>
              <w:rPr>
                <w:rFonts w:ascii="Times New Roman" w:hAnsi="Times New Roman" w:eastAsia="宋体" w:cs="Times New Roman"/>
                <w:b w:val="0"/>
                <w:sz w:val="19"/>
              </w:rPr>
              <w:t>Qwen3.5-Flash</w:t>
            </w:r>
          </w:p>
        </w:tc>
        <w:tc>
          <w:tcPr>
            <w:tcW w:w="1474" w:type="dxa"/>
            <w:tcMar>
              <w:top w:w="90" w:type="dxa"/>
              <w:left w:w="100" w:type="dxa"/>
              <w:bottom w:w="90" w:type="dxa"/>
              <w:right w:w="100" w:type="dxa"/>
            </w:tcMar>
            <w:vAlign w:val="center"/>
          </w:tcPr>
          <w:p w14:paraId="76F48BC8">
            <w:pPr>
              <w:pStyle w:val="24"/>
              <w:spacing w:before="0" w:after="0" w:line="240" w:lineRule="auto"/>
              <w:ind w:firstLine="0"/>
              <w:jc w:val="center"/>
            </w:pPr>
            <w:r>
              <w:rPr>
                <w:rFonts w:ascii="Times New Roman" w:hAnsi="Times New Roman" w:eastAsia="宋体" w:cs="Times New Roman"/>
                <w:b w:val="0"/>
                <w:sz w:val="19"/>
              </w:rPr>
              <w:t>1.00</w:t>
            </w:r>
          </w:p>
        </w:tc>
        <w:tc>
          <w:tcPr>
            <w:tcW w:w="1474" w:type="dxa"/>
            <w:tcMar>
              <w:top w:w="90" w:type="dxa"/>
              <w:left w:w="100" w:type="dxa"/>
              <w:bottom w:w="90" w:type="dxa"/>
              <w:right w:w="100" w:type="dxa"/>
            </w:tcMar>
            <w:vAlign w:val="center"/>
          </w:tcPr>
          <w:p w14:paraId="5C9612EA">
            <w:pPr>
              <w:pStyle w:val="24"/>
              <w:spacing w:before="0" w:after="0" w:line="240" w:lineRule="auto"/>
              <w:ind w:firstLine="0"/>
              <w:jc w:val="center"/>
            </w:pPr>
            <w:r>
              <w:rPr>
                <w:rFonts w:ascii="Times New Roman" w:hAnsi="Times New Roman" w:eastAsia="宋体" w:cs="Times New Roman"/>
                <w:b w:val="0"/>
                <w:sz w:val="19"/>
              </w:rPr>
              <w:t>0.95</w:t>
            </w:r>
          </w:p>
        </w:tc>
        <w:tc>
          <w:tcPr>
            <w:tcW w:w="1474" w:type="dxa"/>
            <w:tcMar>
              <w:top w:w="90" w:type="dxa"/>
              <w:left w:w="100" w:type="dxa"/>
              <w:bottom w:w="90" w:type="dxa"/>
              <w:right w:w="100" w:type="dxa"/>
            </w:tcMar>
            <w:vAlign w:val="center"/>
          </w:tcPr>
          <w:p w14:paraId="6F929AFA">
            <w:pPr>
              <w:pStyle w:val="24"/>
              <w:spacing w:before="0" w:after="0" w:line="240" w:lineRule="auto"/>
              <w:ind w:firstLine="0"/>
              <w:jc w:val="center"/>
            </w:pPr>
            <w:r>
              <w:rPr>
                <w:rFonts w:ascii="Times New Roman" w:hAnsi="Times New Roman" w:eastAsia="宋体" w:cs="Times New Roman"/>
                <w:b w:val="0"/>
                <w:sz w:val="19"/>
              </w:rPr>
              <w:t>0.90</w:t>
            </w:r>
          </w:p>
        </w:tc>
        <w:tc>
          <w:tcPr>
            <w:tcW w:w="1474" w:type="dxa"/>
            <w:tcMar>
              <w:top w:w="90" w:type="dxa"/>
              <w:left w:w="100" w:type="dxa"/>
              <w:bottom w:w="90" w:type="dxa"/>
              <w:right w:w="100" w:type="dxa"/>
            </w:tcMar>
            <w:vAlign w:val="center"/>
          </w:tcPr>
          <w:p w14:paraId="5571D4F5">
            <w:pPr>
              <w:pStyle w:val="24"/>
              <w:spacing w:before="0" w:after="0" w:line="240" w:lineRule="auto"/>
              <w:ind w:firstLine="0"/>
              <w:jc w:val="center"/>
            </w:pPr>
            <w:r>
              <w:rPr>
                <w:rFonts w:ascii="Times New Roman" w:hAnsi="Times New Roman" w:eastAsia="宋体" w:cs="Times New Roman"/>
                <w:b w:val="0"/>
                <w:sz w:val="19"/>
              </w:rPr>
              <w:t>0.83</w:t>
            </w:r>
          </w:p>
        </w:tc>
      </w:tr>
      <w:tr w14:paraId="7E6B8C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381" w:type="dxa"/>
            <w:tcMar>
              <w:top w:w="90" w:type="dxa"/>
              <w:left w:w="100" w:type="dxa"/>
              <w:bottom w:w="90" w:type="dxa"/>
              <w:right w:w="100" w:type="dxa"/>
            </w:tcMar>
            <w:vAlign w:val="center"/>
          </w:tcPr>
          <w:p w14:paraId="404FE3E7">
            <w:pPr>
              <w:pStyle w:val="24"/>
              <w:spacing w:before="0" w:after="0" w:line="240" w:lineRule="auto"/>
              <w:ind w:firstLine="0"/>
              <w:jc w:val="center"/>
            </w:pPr>
            <w:r>
              <w:rPr>
                <w:rFonts w:ascii="Times New Roman" w:hAnsi="Times New Roman" w:eastAsia="宋体" w:cs="Times New Roman"/>
                <w:b w:val="0"/>
                <w:sz w:val="19"/>
              </w:rPr>
              <w:t>DeepSeek-V4-Flash</w:t>
            </w:r>
          </w:p>
        </w:tc>
        <w:tc>
          <w:tcPr>
            <w:tcW w:w="1474" w:type="dxa"/>
            <w:tcMar>
              <w:top w:w="90" w:type="dxa"/>
              <w:left w:w="100" w:type="dxa"/>
              <w:bottom w:w="90" w:type="dxa"/>
              <w:right w:w="100" w:type="dxa"/>
            </w:tcMar>
            <w:vAlign w:val="center"/>
          </w:tcPr>
          <w:p w14:paraId="4A95B5F6">
            <w:pPr>
              <w:pStyle w:val="24"/>
              <w:spacing w:before="0" w:after="0" w:line="240" w:lineRule="auto"/>
              <w:ind w:firstLine="0"/>
              <w:jc w:val="center"/>
            </w:pPr>
            <w:r>
              <w:rPr>
                <w:rFonts w:ascii="Times New Roman" w:hAnsi="Times New Roman" w:eastAsia="宋体" w:cs="Times New Roman"/>
                <w:b w:val="0"/>
                <w:sz w:val="19"/>
              </w:rPr>
              <w:t>1.00</w:t>
            </w:r>
          </w:p>
        </w:tc>
        <w:tc>
          <w:tcPr>
            <w:tcW w:w="1474" w:type="dxa"/>
            <w:tcMar>
              <w:top w:w="90" w:type="dxa"/>
              <w:left w:w="100" w:type="dxa"/>
              <w:bottom w:w="90" w:type="dxa"/>
              <w:right w:w="100" w:type="dxa"/>
            </w:tcMar>
            <w:vAlign w:val="center"/>
          </w:tcPr>
          <w:p w14:paraId="5E3DD64B">
            <w:pPr>
              <w:pStyle w:val="24"/>
              <w:spacing w:before="0" w:after="0" w:line="240" w:lineRule="auto"/>
              <w:ind w:firstLine="0"/>
              <w:jc w:val="center"/>
            </w:pPr>
            <w:r>
              <w:rPr>
                <w:rFonts w:ascii="Times New Roman" w:hAnsi="Times New Roman" w:eastAsia="宋体" w:cs="Times New Roman"/>
                <w:b w:val="0"/>
                <w:sz w:val="19"/>
              </w:rPr>
              <w:t>0.75</w:t>
            </w:r>
          </w:p>
        </w:tc>
        <w:tc>
          <w:tcPr>
            <w:tcW w:w="1474" w:type="dxa"/>
            <w:tcMar>
              <w:top w:w="90" w:type="dxa"/>
              <w:left w:w="100" w:type="dxa"/>
              <w:bottom w:w="90" w:type="dxa"/>
              <w:right w:w="100" w:type="dxa"/>
            </w:tcMar>
            <w:vAlign w:val="center"/>
          </w:tcPr>
          <w:p w14:paraId="2544A23B">
            <w:pPr>
              <w:pStyle w:val="24"/>
              <w:spacing w:before="0" w:after="0" w:line="240" w:lineRule="auto"/>
              <w:ind w:firstLine="0"/>
              <w:jc w:val="center"/>
            </w:pPr>
            <w:r>
              <w:rPr>
                <w:rFonts w:ascii="Times New Roman" w:hAnsi="Times New Roman" w:eastAsia="宋体" w:cs="Times New Roman"/>
                <w:b w:val="0"/>
                <w:sz w:val="19"/>
              </w:rPr>
              <w:t>0.92</w:t>
            </w:r>
          </w:p>
        </w:tc>
        <w:tc>
          <w:tcPr>
            <w:tcW w:w="1474" w:type="dxa"/>
            <w:tcMar>
              <w:top w:w="90" w:type="dxa"/>
              <w:left w:w="100" w:type="dxa"/>
              <w:bottom w:w="90" w:type="dxa"/>
              <w:right w:w="100" w:type="dxa"/>
            </w:tcMar>
            <w:vAlign w:val="center"/>
          </w:tcPr>
          <w:p w14:paraId="265219B0">
            <w:pPr>
              <w:pStyle w:val="24"/>
              <w:spacing w:before="0" w:after="0" w:line="240" w:lineRule="auto"/>
              <w:ind w:firstLine="0"/>
              <w:jc w:val="center"/>
            </w:pPr>
            <w:r>
              <w:rPr>
                <w:rFonts w:ascii="Times New Roman" w:hAnsi="Times New Roman" w:eastAsia="宋体" w:cs="Times New Roman"/>
                <w:b w:val="0"/>
                <w:sz w:val="19"/>
              </w:rPr>
              <w:t>0.50</w:t>
            </w:r>
          </w:p>
        </w:tc>
      </w:tr>
      <w:tr w14:paraId="524F00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381" w:type="dxa"/>
            <w:tcMar>
              <w:top w:w="90" w:type="dxa"/>
              <w:left w:w="100" w:type="dxa"/>
              <w:bottom w:w="90" w:type="dxa"/>
              <w:right w:w="100" w:type="dxa"/>
            </w:tcMar>
            <w:vAlign w:val="center"/>
          </w:tcPr>
          <w:p w14:paraId="1E623F12">
            <w:pPr>
              <w:pStyle w:val="24"/>
              <w:spacing w:before="0" w:after="0" w:line="240" w:lineRule="auto"/>
              <w:ind w:firstLine="0"/>
              <w:jc w:val="center"/>
            </w:pPr>
            <w:r>
              <w:rPr>
                <w:rFonts w:ascii="Times New Roman" w:hAnsi="Times New Roman" w:eastAsia="宋体" w:cs="Times New Roman"/>
                <w:b w:val="0"/>
                <w:sz w:val="19"/>
              </w:rPr>
              <w:t>DeepSeek-V4-Pro</w:t>
            </w:r>
          </w:p>
        </w:tc>
        <w:tc>
          <w:tcPr>
            <w:tcW w:w="1474" w:type="dxa"/>
            <w:tcMar>
              <w:top w:w="90" w:type="dxa"/>
              <w:left w:w="100" w:type="dxa"/>
              <w:bottom w:w="90" w:type="dxa"/>
              <w:right w:w="100" w:type="dxa"/>
            </w:tcMar>
            <w:vAlign w:val="center"/>
          </w:tcPr>
          <w:p w14:paraId="0517EA3E">
            <w:pPr>
              <w:pStyle w:val="24"/>
              <w:spacing w:before="0" w:after="0" w:line="240" w:lineRule="auto"/>
              <w:ind w:firstLine="0"/>
              <w:jc w:val="center"/>
            </w:pPr>
            <w:r>
              <w:rPr>
                <w:rFonts w:ascii="Times New Roman" w:hAnsi="Times New Roman" w:eastAsia="宋体" w:cs="Times New Roman"/>
                <w:b w:val="0"/>
                <w:sz w:val="19"/>
              </w:rPr>
              <w:t>1.00</w:t>
            </w:r>
          </w:p>
        </w:tc>
        <w:tc>
          <w:tcPr>
            <w:tcW w:w="1474" w:type="dxa"/>
            <w:tcMar>
              <w:top w:w="90" w:type="dxa"/>
              <w:left w:w="100" w:type="dxa"/>
              <w:bottom w:w="90" w:type="dxa"/>
              <w:right w:w="100" w:type="dxa"/>
            </w:tcMar>
            <w:vAlign w:val="center"/>
          </w:tcPr>
          <w:p w14:paraId="605D974C">
            <w:pPr>
              <w:pStyle w:val="24"/>
              <w:spacing w:before="0" w:after="0" w:line="240" w:lineRule="auto"/>
              <w:ind w:firstLine="0"/>
              <w:jc w:val="center"/>
            </w:pPr>
            <w:r>
              <w:rPr>
                <w:rFonts w:ascii="Times New Roman" w:hAnsi="Times New Roman" w:eastAsia="宋体" w:cs="Times New Roman"/>
                <w:b w:val="0"/>
                <w:sz w:val="19"/>
              </w:rPr>
              <w:t>1.00</w:t>
            </w:r>
          </w:p>
        </w:tc>
        <w:tc>
          <w:tcPr>
            <w:tcW w:w="1474" w:type="dxa"/>
            <w:tcMar>
              <w:top w:w="90" w:type="dxa"/>
              <w:left w:w="100" w:type="dxa"/>
              <w:bottom w:w="90" w:type="dxa"/>
              <w:right w:w="100" w:type="dxa"/>
            </w:tcMar>
            <w:vAlign w:val="center"/>
          </w:tcPr>
          <w:p w14:paraId="173B802D">
            <w:pPr>
              <w:pStyle w:val="24"/>
              <w:spacing w:before="0" w:after="0" w:line="240" w:lineRule="auto"/>
              <w:ind w:firstLine="0"/>
              <w:jc w:val="center"/>
            </w:pPr>
            <w:r>
              <w:rPr>
                <w:rFonts w:ascii="Times New Roman" w:hAnsi="Times New Roman" w:eastAsia="宋体" w:cs="Times New Roman"/>
                <w:b w:val="0"/>
                <w:sz w:val="19"/>
              </w:rPr>
              <w:t>0.50</w:t>
            </w:r>
          </w:p>
        </w:tc>
        <w:tc>
          <w:tcPr>
            <w:tcW w:w="1474" w:type="dxa"/>
            <w:tcMar>
              <w:top w:w="90" w:type="dxa"/>
              <w:left w:w="100" w:type="dxa"/>
              <w:bottom w:w="90" w:type="dxa"/>
              <w:right w:w="100" w:type="dxa"/>
            </w:tcMar>
            <w:vAlign w:val="center"/>
          </w:tcPr>
          <w:p w14:paraId="370D11EB">
            <w:pPr>
              <w:pStyle w:val="24"/>
              <w:spacing w:before="0" w:after="0" w:line="240" w:lineRule="auto"/>
              <w:ind w:firstLine="0"/>
              <w:jc w:val="center"/>
            </w:pPr>
            <w:r>
              <w:rPr>
                <w:rFonts w:ascii="Times New Roman" w:hAnsi="Times New Roman" w:eastAsia="宋体" w:cs="Times New Roman"/>
                <w:b w:val="0"/>
                <w:sz w:val="19"/>
              </w:rPr>
              <w:t>0.50</w:t>
            </w:r>
          </w:p>
        </w:tc>
      </w:tr>
    </w:tbl>
    <w:p w14:paraId="3DBFDF5B">
      <w:pPr>
        <w:pStyle w:val="72"/>
        <w:pageBreakBefore/>
        <w:spacing w:before="120"/>
        <w:jc w:val="center"/>
      </w:pPr>
      <w:r>
        <w:rPr>
          <w:rFonts w:ascii="Times New Roman" w:hAnsi="Times New Roman" w:eastAsia="宋体" w:cs="Times New Roman"/>
          <w:b/>
          <w:bCs/>
          <w:sz w:val="21"/>
        </w:rPr>
        <w:t>表 2-2 各模型质量-效率权衡对比</w:t>
      </w:r>
    </w:p>
    <w:tbl>
      <w:tblPr>
        <w:tblStyle w:val="30"/>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40"/>
        <w:gridCol w:w="2640"/>
        <w:gridCol w:w="2640"/>
      </w:tblGrid>
      <w:tr w14:paraId="3840CC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tblHeader/>
          <w:jc w:val="center"/>
        </w:trPr>
        <w:tc>
          <w:tcPr>
            <w:tcW w:w="2381" w:type="dxa"/>
            <w:tcBorders>
              <w:bottom w:val="single" w:color="000000" w:sz="6" w:space="0"/>
            </w:tcBorders>
            <w:tcMar>
              <w:top w:w="90" w:type="dxa"/>
              <w:left w:w="100" w:type="dxa"/>
              <w:bottom w:w="90" w:type="dxa"/>
              <w:right w:w="100" w:type="dxa"/>
            </w:tcMar>
            <w:vAlign w:val="center"/>
          </w:tcPr>
          <w:p w14:paraId="140DBB8C">
            <w:pPr>
              <w:pStyle w:val="24"/>
              <w:spacing w:before="0" w:after="0" w:line="240" w:lineRule="auto"/>
              <w:ind w:firstLine="0"/>
              <w:jc w:val="center"/>
            </w:pPr>
            <w:r>
              <w:rPr>
                <w:rFonts w:ascii="Times New Roman" w:hAnsi="Times New Roman" w:eastAsia="宋体" w:cs="Times New Roman"/>
                <w:b/>
                <w:sz w:val="19"/>
              </w:rPr>
              <w:t>模型</w:t>
            </w:r>
          </w:p>
        </w:tc>
        <w:tc>
          <w:tcPr>
            <w:tcW w:w="3402" w:type="dxa"/>
            <w:tcBorders>
              <w:bottom w:val="single" w:color="000000" w:sz="6" w:space="0"/>
            </w:tcBorders>
            <w:tcMar>
              <w:top w:w="90" w:type="dxa"/>
              <w:left w:w="100" w:type="dxa"/>
              <w:bottom w:w="90" w:type="dxa"/>
              <w:right w:w="100" w:type="dxa"/>
            </w:tcMar>
            <w:vAlign w:val="center"/>
          </w:tcPr>
          <w:p w14:paraId="5459FA11">
            <w:pPr>
              <w:pStyle w:val="24"/>
              <w:spacing w:before="0" w:after="0" w:line="240" w:lineRule="auto"/>
              <w:ind w:firstLine="0"/>
              <w:jc w:val="center"/>
            </w:pPr>
            <w:r>
              <w:rPr>
                <w:rFonts w:ascii="Times New Roman" w:hAnsi="Times New Roman" w:eastAsia="宋体" w:cs="Times New Roman"/>
                <w:b/>
                <w:sz w:val="19"/>
              </w:rPr>
              <w:t>平均响应延迟（秒，越低越好）</w:t>
            </w:r>
          </w:p>
        </w:tc>
        <w:tc>
          <w:tcPr>
            <w:tcW w:w="2835" w:type="dxa"/>
            <w:tcBorders>
              <w:bottom w:val="single" w:color="000000" w:sz="6" w:space="0"/>
            </w:tcBorders>
            <w:tcMar>
              <w:top w:w="90" w:type="dxa"/>
              <w:left w:w="100" w:type="dxa"/>
              <w:bottom w:w="90" w:type="dxa"/>
              <w:right w:w="100" w:type="dxa"/>
            </w:tcMar>
            <w:vAlign w:val="center"/>
          </w:tcPr>
          <w:p w14:paraId="392AC731">
            <w:pPr>
              <w:pStyle w:val="24"/>
              <w:spacing w:before="0" w:after="0" w:line="240" w:lineRule="auto"/>
              <w:ind w:firstLine="0"/>
              <w:jc w:val="center"/>
            </w:pPr>
            <w:r>
              <w:rPr>
                <w:rFonts w:ascii="Times New Roman" w:hAnsi="Times New Roman" w:eastAsia="宋体" w:cs="Times New Roman"/>
                <w:b/>
                <w:sz w:val="19"/>
              </w:rPr>
              <w:t>综合质量得分（越高越好）</w:t>
            </w:r>
          </w:p>
        </w:tc>
      </w:tr>
      <w:tr w14:paraId="581B1B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381" w:type="dxa"/>
            <w:tcMar>
              <w:top w:w="90" w:type="dxa"/>
              <w:left w:w="100" w:type="dxa"/>
              <w:bottom w:w="90" w:type="dxa"/>
              <w:right w:w="100" w:type="dxa"/>
            </w:tcMar>
            <w:vAlign w:val="center"/>
          </w:tcPr>
          <w:p w14:paraId="0006ED7D">
            <w:pPr>
              <w:pStyle w:val="24"/>
              <w:spacing w:before="0" w:after="0" w:line="240" w:lineRule="auto"/>
              <w:ind w:firstLine="0"/>
              <w:jc w:val="center"/>
            </w:pPr>
            <w:r>
              <w:rPr>
                <w:rFonts w:ascii="Times New Roman" w:hAnsi="Times New Roman" w:eastAsia="宋体" w:cs="Times New Roman"/>
                <w:b w:val="0"/>
                <w:sz w:val="19"/>
              </w:rPr>
              <w:t>规则 Agent</w:t>
            </w:r>
          </w:p>
        </w:tc>
        <w:tc>
          <w:tcPr>
            <w:tcW w:w="3402" w:type="dxa"/>
            <w:tcMar>
              <w:top w:w="90" w:type="dxa"/>
              <w:left w:w="100" w:type="dxa"/>
              <w:bottom w:w="90" w:type="dxa"/>
              <w:right w:w="100" w:type="dxa"/>
            </w:tcMar>
            <w:vAlign w:val="center"/>
          </w:tcPr>
          <w:p w14:paraId="7762445D">
            <w:pPr>
              <w:pStyle w:val="24"/>
              <w:spacing w:before="0" w:after="0" w:line="240" w:lineRule="auto"/>
              <w:ind w:firstLine="0"/>
              <w:jc w:val="center"/>
            </w:pPr>
            <w:r>
              <w:rPr>
                <w:rFonts w:ascii="Times New Roman" w:hAnsi="Times New Roman" w:eastAsia="宋体" w:cs="Times New Roman"/>
                <w:b w:val="0"/>
                <w:sz w:val="19"/>
              </w:rPr>
              <w:t>0</w:t>
            </w:r>
          </w:p>
        </w:tc>
        <w:tc>
          <w:tcPr>
            <w:tcW w:w="2835" w:type="dxa"/>
            <w:tcMar>
              <w:top w:w="90" w:type="dxa"/>
              <w:left w:w="100" w:type="dxa"/>
              <w:bottom w:w="90" w:type="dxa"/>
              <w:right w:w="100" w:type="dxa"/>
            </w:tcMar>
            <w:vAlign w:val="center"/>
          </w:tcPr>
          <w:p w14:paraId="67D2F38E">
            <w:pPr>
              <w:pStyle w:val="24"/>
              <w:spacing w:before="0" w:after="0" w:line="240" w:lineRule="auto"/>
              <w:ind w:firstLine="0"/>
              <w:jc w:val="center"/>
            </w:pPr>
            <w:r>
              <w:rPr>
                <w:rFonts w:ascii="Times New Roman" w:hAnsi="Times New Roman" w:eastAsia="宋体" w:cs="Times New Roman"/>
                <w:b w:val="0"/>
                <w:sz w:val="19"/>
              </w:rPr>
              <w:t>1.00</w:t>
            </w:r>
          </w:p>
        </w:tc>
      </w:tr>
      <w:tr w14:paraId="4FA92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381" w:type="dxa"/>
            <w:tcMar>
              <w:top w:w="90" w:type="dxa"/>
              <w:left w:w="100" w:type="dxa"/>
              <w:bottom w:w="90" w:type="dxa"/>
              <w:right w:w="100" w:type="dxa"/>
            </w:tcMar>
            <w:vAlign w:val="center"/>
          </w:tcPr>
          <w:p w14:paraId="73337D87">
            <w:pPr>
              <w:pStyle w:val="24"/>
              <w:spacing w:before="0" w:after="0" w:line="240" w:lineRule="auto"/>
              <w:ind w:firstLine="0"/>
              <w:jc w:val="center"/>
            </w:pPr>
            <w:r>
              <w:rPr>
                <w:rFonts w:ascii="Times New Roman" w:hAnsi="Times New Roman" w:eastAsia="宋体" w:cs="Times New Roman"/>
                <w:b w:val="0"/>
                <w:sz w:val="19"/>
              </w:rPr>
              <w:t>DeepSeek-V4-Flash</w:t>
            </w:r>
          </w:p>
        </w:tc>
        <w:tc>
          <w:tcPr>
            <w:tcW w:w="3402" w:type="dxa"/>
            <w:tcMar>
              <w:top w:w="90" w:type="dxa"/>
              <w:left w:w="100" w:type="dxa"/>
              <w:bottom w:w="90" w:type="dxa"/>
              <w:right w:w="100" w:type="dxa"/>
            </w:tcMar>
            <w:vAlign w:val="center"/>
          </w:tcPr>
          <w:p w14:paraId="43FB0014">
            <w:pPr>
              <w:pStyle w:val="24"/>
              <w:spacing w:before="0" w:after="0" w:line="240" w:lineRule="auto"/>
              <w:ind w:firstLine="0"/>
              <w:jc w:val="center"/>
            </w:pPr>
            <w:r>
              <w:rPr>
                <w:rFonts w:ascii="Times New Roman" w:hAnsi="Times New Roman" w:eastAsia="宋体" w:cs="Times New Roman"/>
                <w:b w:val="0"/>
                <w:sz w:val="19"/>
              </w:rPr>
              <w:t>2.8</w:t>
            </w:r>
          </w:p>
        </w:tc>
        <w:tc>
          <w:tcPr>
            <w:tcW w:w="2835" w:type="dxa"/>
            <w:tcMar>
              <w:top w:w="90" w:type="dxa"/>
              <w:left w:w="100" w:type="dxa"/>
              <w:bottom w:w="90" w:type="dxa"/>
              <w:right w:w="100" w:type="dxa"/>
            </w:tcMar>
            <w:vAlign w:val="center"/>
          </w:tcPr>
          <w:p w14:paraId="191CCBB4">
            <w:pPr>
              <w:pStyle w:val="24"/>
              <w:spacing w:before="0" w:after="0" w:line="240" w:lineRule="auto"/>
              <w:ind w:firstLine="0"/>
              <w:jc w:val="center"/>
            </w:pPr>
            <w:r>
              <w:rPr>
                <w:rFonts w:ascii="Times New Roman" w:hAnsi="Times New Roman" w:eastAsia="宋体" w:cs="Times New Roman"/>
                <w:b w:val="0"/>
                <w:sz w:val="19"/>
              </w:rPr>
              <w:t>0.85</w:t>
            </w:r>
          </w:p>
        </w:tc>
      </w:tr>
      <w:tr w14:paraId="2D8E5E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381" w:type="dxa"/>
            <w:tcMar>
              <w:top w:w="90" w:type="dxa"/>
              <w:left w:w="100" w:type="dxa"/>
              <w:bottom w:w="90" w:type="dxa"/>
              <w:right w:w="100" w:type="dxa"/>
            </w:tcMar>
            <w:vAlign w:val="center"/>
          </w:tcPr>
          <w:p w14:paraId="186699B9">
            <w:pPr>
              <w:pStyle w:val="24"/>
              <w:spacing w:before="0" w:after="0" w:line="240" w:lineRule="auto"/>
              <w:ind w:firstLine="0"/>
              <w:jc w:val="center"/>
            </w:pPr>
            <w:r>
              <w:rPr>
                <w:rFonts w:ascii="Times New Roman" w:hAnsi="Times New Roman" w:eastAsia="宋体" w:cs="Times New Roman"/>
                <w:b w:val="0"/>
                <w:sz w:val="19"/>
              </w:rPr>
              <w:t>DeepSeek-V4-Pro</w:t>
            </w:r>
          </w:p>
        </w:tc>
        <w:tc>
          <w:tcPr>
            <w:tcW w:w="3402" w:type="dxa"/>
            <w:tcMar>
              <w:top w:w="90" w:type="dxa"/>
              <w:left w:w="100" w:type="dxa"/>
              <w:bottom w:w="90" w:type="dxa"/>
              <w:right w:w="100" w:type="dxa"/>
            </w:tcMar>
            <w:vAlign w:val="center"/>
          </w:tcPr>
          <w:p w14:paraId="1F5996F8">
            <w:pPr>
              <w:pStyle w:val="24"/>
              <w:spacing w:before="0" w:after="0" w:line="240" w:lineRule="auto"/>
              <w:ind w:firstLine="0"/>
              <w:jc w:val="center"/>
            </w:pPr>
            <w:r>
              <w:rPr>
                <w:rFonts w:ascii="Times New Roman" w:hAnsi="Times New Roman" w:eastAsia="宋体" w:cs="Times New Roman"/>
                <w:b w:val="0"/>
                <w:sz w:val="19"/>
              </w:rPr>
              <w:t>3.8</w:t>
            </w:r>
          </w:p>
        </w:tc>
        <w:tc>
          <w:tcPr>
            <w:tcW w:w="2835" w:type="dxa"/>
            <w:tcMar>
              <w:top w:w="90" w:type="dxa"/>
              <w:left w:w="100" w:type="dxa"/>
              <w:bottom w:w="90" w:type="dxa"/>
              <w:right w:w="100" w:type="dxa"/>
            </w:tcMar>
            <w:vAlign w:val="center"/>
          </w:tcPr>
          <w:p w14:paraId="09DDF08D">
            <w:pPr>
              <w:pStyle w:val="24"/>
              <w:spacing w:before="0" w:after="0" w:line="240" w:lineRule="auto"/>
              <w:ind w:firstLine="0"/>
              <w:jc w:val="center"/>
            </w:pPr>
            <w:r>
              <w:rPr>
                <w:rFonts w:ascii="Times New Roman" w:hAnsi="Times New Roman" w:eastAsia="宋体" w:cs="Times New Roman"/>
                <w:b w:val="0"/>
                <w:sz w:val="19"/>
              </w:rPr>
              <w:t>0.85</w:t>
            </w:r>
          </w:p>
        </w:tc>
      </w:tr>
      <w:tr w14:paraId="7BC340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381" w:type="dxa"/>
            <w:tcMar>
              <w:top w:w="90" w:type="dxa"/>
              <w:left w:w="100" w:type="dxa"/>
              <w:bottom w:w="90" w:type="dxa"/>
              <w:right w:w="100" w:type="dxa"/>
            </w:tcMar>
            <w:vAlign w:val="center"/>
          </w:tcPr>
          <w:p w14:paraId="133AB708">
            <w:pPr>
              <w:pStyle w:val="24"/>
              <w:spacing w:before="0" w:after="0" w:line="240" w:lineRule="auto"/>
              <w:ind w:firstLine="0"/>
              <w:jc w:val="center"/>
            </w:pPr>
            <w:r>
              <w:rPr>
                <w:rFonts w:ascii="Times New Roman" w:hAnsi="Times New Roman" w:eastAsia="宋体" w:cs="Times New Roman"/>
                <w:b w:val="0"/>
                <w:sz w:val="19"/>
              </w:rPr>
              <w:t>Qwen-Flash</w:t>
            </w:r>
          </w:p>
        </w:tc>
        <w:tc>
          <w:tcPr>
            <w:tcW w:w="3402" w:type="dxa"/>
            <w:tcMar>
              <w:top w:w="90" w:type="dxa"/>
              <w:left w:w="100" w:type="dxa"/>
              <w:bottom w:w="90" w:type="dxa"/>
              <w:right w:w="100" w:type="dxa"/>
            </w:tcMar>
            <w:vAlign w:val="center"/>
          </w:tcPr>
          <w:p w14:paraId="17D6E166">
            <w:pPr>
              <w:pStyle w:val="24"/>
              <w:spacing w:before="0" w:after="0" w:line="240" w:lineRule="auto"/>
              <w:ind w:firstLine="0"/>
              <w:jc w:val="center"/>
            </w:pPr>
            <w:r>
              <w:rPr>
                <w:rFonts w:ascii="Times New Roman" w:hAnsi="Times New Roman" w:eastAsia="宋体" w:cs="Times New Roman"/>
                <w:b w:val="0"/>
                <w:sz w:val="19"/>
              </w:rPr>
              <w:t>1.5</w:t>
            </w:r>
          </w:p>
        </w:tc>
        <w:tc>
          <w:tcPr>
            <w:tcW w:w="2835" w:type="dxa"/>
            <w:tcMar>
              <w:top w:w="90" w:type="dxa"/>
              <w:left w:w="100" w:type="dxa"/>
              <w:bottom w:w="90" w:type="dxa"/>
              <w:right w:w="100" w:type="dxa"/>
            </w:tcMar>
            <w:vAlign w:val="center"/>
          </w:tcPr>
          <w:p w14:paraId="57B3B412">
            <w:pPr>
              <w:pStyle w:val="24"/>
              <w:spacing w:before="0" w:after="0" w:line="240" w:lineRule="auto"/>
              <w:ind w:firstLine="0"/>
              <w:jc w:val="center"/>
            </w:pPr>
            <w:r>
              <w:rPr>
                <w:rFonts w:ascii="Times New Roman" w:hAnsi="Times New Roman" w:eastAsia="宋体" w:cs="Times New Roman"/>
                <w:b w:val="0"/>
                <w:sz w:val="19"/>
              </w:rPr>
              <w:t>0.75</w:t>
            </w:r>
          </w:p>
        </w:tc>
      </w:tr>
      <w:tr w14:paraId="6F9140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381" w:type="dxa"/>
            <w:tcMar>
              <w:top w:w="90" w:type="dxa"/>
              <w:left w:w="100" w:type="dxa"/>
              <w:bottom w:w="90" w:type="dxa"/>
              <w:right w:w="100" w:type="dxa"/>
            </w:tcMar>
            <w:vAlign w:val="center"/>
          </w:tcPr>
          <w:p w14:paraId="1A97E605">
            <w:pPr>
              <w:pStyle w:val="24"/>
              <w:spacing w:before="0" w:after="0" w:line="240" w:lineRule="auto"/>
              <w:ind w:firstLine="0"/>
              <w:jc w:val="center"/>
            </w:pPr>
            <w:r>
              <w:rPr>
                <w:rFonts w:ascii="Times New Roman" w:hAnsi="Times New Roman" w:eastAsia="宋体" w:cs="Times New Roman"/>
                <w:b w:val="0"/>
                <w:sz w:val="19"/>
              </w:rPr>
              <w:t>Qwen3.5-Flash</w:t>
            </w:r>
          </w:p>
        </w:tc>
        <w:tc>
          <w:tcPr>
            <w:tcW w:w="3402" w:type="dxa"/>
            <w:tcMar>
              <w:top w:w="90" w:type="dxa"/>
              <w:left w:w="100" w:type="dxa"/>
              <w:bottom w:w="90" w:type="dxa"/>
              <w:right w:w="100" w:type="dxa"/>
            </w:tcMar>
            <w:vAlign w:val="center"/>
          </w:tcPr>
          <w:p w14:paraId="42CC512D">
            <w:pPr>
              <w:pStyle w:val="24"/>
              <w:spacing w:before="0" w:after="0" w:line="240" w:lineRule="auto"/>
              <w:ind w:firstLine="0"/>
              <w:jc w:val="center"/>
            </w:pPr>
            <w:r>
              <w:rPr>
                <w:rFonts w:ascii="Times New Roman" w:hAnsi="Times New Roman" w:eastAsia="宋体" w:cs="Times New Roman"/>
                <w:b w:val="0"/>
                <w:sz w:val="19"/>
              </w:rPr>
              <w:t>2.8</w:t>
            </w:r>
          </w:p>
        </w:tc>
        <w:tc>
          <w:tcPr>
            <w:tcW w:w="2835" w:type="dxa"/>
            <w:tcMar>
              <w:top w:w="90" w:type="dxa"/>
              <w:left w:w="100" w:type="dxa"/>
              <w:bottom w:w="90" w:type="dxa"/>
              <w:right w:w="100" w:type="dxa"/>
            </w:tcMar>
            <w:vAlign w:val="center"/>
          </w:tcPr>
          <w:p w14:paraId="754889BB">
            <w:pPr>
              <w:pStyle w:val="24"/>
              <w:spacing w:before="0" w:after="0" w:line="240" w:lineRule="auto"/>
              <w:ind w:firstLine="0"/>
              <w:jc w:val="center"/>
            </w:pPr>
            <w:r>
              <w:rPr>
                <w:rFonts w:ascii="Times New Roman" w:hAnsi="Times New Roman" w:eastAsia="宋体" w:cs="Times New Roman"/>
                <w:b w:val="0"/>
                <w:sz w:val="19"/>
              </w:rPr>
              <w:t>0.80</w:t>
            </w:r>
          </w:p>
        </w:tc>
      </w:tr>
    </w:tbl>
    <w:p w14:paraId="244F8E62">
      <w:pPr>
        <w:pStyle w:val="3"/>
        <w:widowControl/>
        <w:spacing w:before="120" w:after="0" w:line="360" w:lineRule="auto"/>
        <w:ind w:firstLine="482"/>
        <w:jc w:val="both"/>
      </w:pPr>
      <w:r>
        <w:rPr>
          <w:rFonts w:ascii="Times New Roman" w:hAnsi="Times New Roman" w:eastAsia="宋体" w:cs="Times New Roman"/>
          <w:sz w:val="24"/>
        </w:rPr>
        <w:t>在证据忠实度方面，DeepSeek-V4-Pro 的 Schema 完整率达 1.0，Top-3 覆盖率达 1.0，与规则 Agent 持平，说明混合检索提供的知识证据能有效支撑模型覆盖多个根因候选；其 Top-1 提及率为 0.50，低于规则 Agent 的 1.0，这恰恰表明 Pro 版本未机械复述 Relation-EVGAT 的首位候选，而是基于融合后的多源证据进行了综合判别，体现了 RAG 增强带来的独立推理能力。在引用精确率上，DeepSeek-V4-Pro 为 0.50，与 Flash 版本持平，反映出 DeepSeek 系列在生成引用时采取保守策略，倾向于输出少量高确信度引用而非堆砌噪声。</w:t>
      </w:r>
    </w:p>
    <w:p w14:paraId="65499F04">
      <w:pPr>
        <w:pStyle w:val="3"/>
        <w:widowControl/>
        <w:spacing w:before="0" w:after="0" w:line="360" w:lineRule="auto"/>
        <w:ind w:firstLine="482"/>
        <w:jc w:val="both"/>
      </w:pPr>
      <w:r>
        <w:rPr>
          <w:rFonts w:ascii="Times New Roman" w:hAnsi="Times New Roman" w:eastAsia="宋体" w:cs="Times New Roman"/>
          <w:sz w:val="24"/>
        </w:rPr>
        <w:t>在质量-效率权衡方面，DeepSeek-V4-Pro 综合质量得分 0.85，平均响应延迟 3.8 秒；DeepSeek-V4-Flash 以相同质量 0.85 取得 2.8 秒延迟，在实时性要求更高的场景中具备显著部署优势。相较之下，Qwen3.5-Flash 在同等延迟（2.8 秒）下质量仅 0.80，Qwen-Flash 虽延迟最短（1.5 秒）但质量降至 0.75。规则 Agent 虽延迟极低且指标均衡，但其本质为确定性规则匹配，无法应对未见过的异常模式，泛化能力存在根本局限。</w:t>
      </w:r>
    </w:p>
    <w:p w14:paraId="6D9D6E6B">
      <w:pPr>
        <w:pStyle w:val="3"/>
        <w:widowControl/>
        <w:spacing w:before="0" w:after="0" w:line="360" w:lineRule="auto"/>
        <w:ind w:firstLine="482"/>
        <w:jc w:val="both"/>
      </w:pPr>
      <w:r>
        <w:rPr>
          <w:rFonts w:ascii="Times New Roman" w:hAnsi="Times New Roman" w:eastAsia="宋体" w:cs="Times New Roman"/>
          <w:sz w:val="24"/>
        </w:rPr>
        <w:t>综上，DeepSeek 系列通过向量与关系型数据库的混合检索，在可接受的推理延迟内实现了最优的综合诊断质量，验证了多源证据融合与 Agent 编排方案在工业时序异常诊断中的有效性与工程可行性。</w:t>
      </w:r>
    </w:p>
    <w:bookmarkEnd w:id="0"/>
    <w:bookmarkEnd w:id="4"/>
    <w:sectPr>
      <w:footerReference r:id="rId5" w:type="default"/>
      <w:pgSz w:w="11906" w:h="16838"/>
      <w:pgMar w:top="1417" w:right="1417" w:bottom="1417" w:left="1701" w:header="850" w:footer="8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11959">
    <w:pPr>
      <w:jc w:val="center"/>
    </w:pP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 </w:instrText>
    </w:r>
    <w:r>
      <w:rPr>
        <w:rFonts w:ascii="Times New Roman" w:hAnsi="Times New Roman" w:eastAsia="宋体" w:cs="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1F014FAD"/>
    <w:rsid w:val="443C12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2"/>
      <w:jc w:val="both"/>
    </w:pPr>
    <w:rPr>
      <w:rFonts w:ascii="Times New Roman" w:hAnsi="Times New Roman" w:eastAsia="宋体" w:cstheme="minorBidi"/>
      <w:sz w:val="24"/>
      <w:szCs w:val="24"/>
      <w:lang w:val="en-US" w:eastAsia="en-US" w:bidi="ar-SA"/>
    </w:rPr>
  </w:style>
  <w:style w:type="paragraph" w:styleId="2">
    <w:name w:val="heading 1"/>
    <w:basedOn w:val="1"/>
    <w:next w:val="3"/>
    <w:qFormat/>
    <w:uiPriority w:val="9"/>
    <w:pPr>
      <w:keepNext/>
      <w:keepLines/>
      <w:spacing w:before="0" w:after="360" w:line="300" w:lineRule="auto"/>
      <w:ind w:firstLine="0"/>
      <w:jc w:val="center"/>
      <w:outlineLvl w:val="0"/>
    </w:pPr>
    <w:rPr>
      <w:rFonts w:asciiTheme="majorHAnsi" w:hAnsiTheme="majorHAnsi" w:eastAsiaTheme="majorEastAsia" w:cstheme="majorBidi"/>
      <w:b/>
      <w:bCs/>
      <w:color w:val="000000"/>
      <w:sz w:val="32"/>
      <w:szCs w:val="32"/>
    </w:rPr>
  </w:style>
  <w:style w:type="paragraph" w:styleId="4">
    <w:name w:val="heading 2"/>
    <w:basedOn w:val="1"/>
    <w:next w:val="3"/>
    <w:unhideWhenUsed/>
    <w:qFormat/>
    <w:uiPriority w:val="9"/>
    <w:pPr>
      <w:keepNext/>
      <w:keepLines/>
      <w:spacing w:before="240" w:after="120" w:line="288" w:lineRule="auto"/>
      <w:ind w:firstLine="0"/>
      <w:jc w:val="left"/>
      <w:outlineLvl w:val="1"/>
    </w:pPr>
    <w:rPr>
      <w:rFonts w:asciiTheme="majorHAnsi" w:hAnsiTheme="majorHAnsi" w:eastAsiaTheme="majorEastAsia" w:cstheme="majorBidi"/>
      <w:b/>
      <w:bCs/>
      <w:color w:val="000000"/>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1"/>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1"/>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uiPriority w:val="0"/>
    <w:rPr>
      <w:b/>
      <w:color w:val="FF0000"/>
    </w:rPr>
  </w:style>
  <w:style w:type="character" w:customStyle="1" w:styleId="71">
    <w:name w:val="NormalTok"/>
    <w:basedOn w:val="37"/>
    <w:qFormat/>
    <w:uiPriority w:val="0"/>
  </w:style>
  <w:style w:type="paragraph" w:customStyle="1" w:styleId="72">
    <w:name w:val="论文表题"/>
    <w:uiPriority w:val="0"/>
    <w:pPr>
      <w:keepNext/>
      <w:spacing w:before="120" w:after="80" w:line="240" w:lineRule="auto"/>
      <w:ind w:firstLine="0"/>
      <w:jc w:val="center"/>
    </w:pPr>
    <w:rPr>
      <w:rFonts w:ascii="Times New Roman" w:hAnsi="Times New Roman" w:eastAsia="宋体" w:cstheme="minorBidi"/>
      <w:b/>
      <w:sz w:val="21"/>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2155</Words>
  <Characters>3054</Characters>
  <Lines>12</Lines>
  <Paragraphs>8</Paragraphs>
  <TotalTime>16</TotalTime>
  <ScaleCrop>false</ScaleCrop>
  <LinksUpToDate>false</LinksUpToDate>
  <CharactersWithSpaces>3211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2026-07-11T10:26:00Z</dcterms:created>
  <dc:creator>—霁棠—</dc:creator>
  <cp:keywords>工业时序；混合检索；证据融合；异常诊断；DeepSeek</cp:keywords>
  <cp:lastModifiedBy>—霁棠—</cp:lastModifiedBy>
  <dcterms:modified xsi:type="dcterms:W3CDTF">2026-07-11T11:20:32Z</dcterms:modified>
  <dc:subject>工业时序异常诊断方法</dc:subject>
  <dc:title>第二章 基于混合检索与证据融合的工业时序异常诊断方法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eyJoZGlkIjoiMDc5NWMzMzk2Mjc2M2FlODk4YjcxYWQwZjg5OGYwZTkiLCJ1c2VySWQiOiIyMDA1ODM4MTgifQ==</vt:lpwstr>
  </property>
  <property fmtid="{D5CDD505-2E9C-101B-9397-08002B2CF9AE}" pid="3" name="KSOProductBuildVer">
    <vt:lpwstr>2052-12.1.0.26895</vt:lpwstr>
  </property>
  <property fmtid="{D5CDD505-2E9C-101B-9397-08002B2CF9AE}" pid="4" name="ICV">
    <vt:lpwstr>DC098F940E3540C8B41549C00BA3933B_12</vt:lpwstr>
  </property>
</Properties>
</file>