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5C5E1">
      <w:pPr>
        <w:jc w:val="right"/>
        <w:rPr>
          <w:color w:val="000000" w:themeColor="text1"/>
          <w14:textFill>
            <w14:solidFill>
              <w14:schemeClr w14:val="tx1"/>
            </w14:solidFill>
          </w14:textFill>
        </w:rPr>
      </w:pPr>
      <w:r>
        <w:rPr>
          <w:color w:val="000000" w:themeColor="text1"/>
          <w14:textFill>
            <w14:solidFill>
              <w14:schemeClr w14:val="tx1"/>
            </w14:solidFill>
          </w14:textFill>
        </w:rPr>
        <w:t>学号：</w:t>
      </w:r>
      <w:r>
        <w:rPr>
          <w:color w:val="000000" w:themeColor="text1"/>
          <w:u w:val="single"/>
          <w14:textFill>
            <w14:solidFill>
              <w14:schemeClr w14:val="tx1"/>
            </w14:solidFill>
          </w14:textFill>
        </w:rPr>
        <w:tab/>
      </w:r>
      <w:r>
        <w:rPr>
          <w:color w:val="000000" w:themeColor="text1"/>
          <w:u w:val="single"/>
          <w14:textFill>
            <w14:solidFill>
              <w14:schemeClr w14:val="tx1"/>
            </w14:solidFill>
          </w14:textFill>
        </w:rPr>
        <w:tab/>
      </w:r>
      <w:r>
        <w:rPr>
          <w:color w:val="000000" w:themeColor="text1"/>
          <w:u w:val="single"/>
          <w14:textFill>
            <w14:solidFill>
              <w14:schemeClr w14:val="tx1"/>
            </w14:solidFill>
          </w14:textFill>
        </w:rPr>
        <w:tab/>
      </w:r>
    </w:p>
    <w:p w14:paraId="7D7FB5F6">
      <w:pPr>
        <w:rPr>
          <w:color w:val="000000" w:themeColor="text1"/>
          <w14:textFill>
            <w14:solidFill>
              <w14:schemeClr w14:val="tx1"/>
            </w14:solidFill>
          </w14:textFill>
        </w:rPr>
      </w:pPr>
    </w:p>
    <w:p w14:paraId="20A232EE">
      <w:pPr>
        <w:rPr>
          <w:color w:val="000000" w:themeColor="text1"/>
          <w14:textFill>
            <w14:solidFill>
              <w14:schemeClr w14:val="tx1"/>
            </w14:solidFill>
          </w14:textFill>
        </w:rPr>
      </w:pPr>
    </w:p>
    <w:p w14:paraId="78AD3F31">
      <w:pPr>
        <w:spacing w:line="360" w:lineRule="auto"/>
        <w:jc w:val="center"/>
        <w:rPr>
          <w:color w:val="000000" w:themeColor="text1"/>
          <w:sz w:val="44"/>
          <w:szCs w:val="44"/>
          <w14:textFill>
            <w14:solidFill>
              <w14:schemeClr w14:val="tx1"/>
            </w14:solidFill>
          </w14:textFill>
        </w:rPr>
      </w:pPr>
    </w:p>
    <w:p w14:paraId="60CF4BC7">
      <w:pPr>
        <w:spacing w:line="360" w:lineRule="auto"/>
        <w:jc w:val="center"/>
        <w:rPr>
          <w:rFonts w:eastAsia="方正小标宋简体"/>
          <w:color w:val="000000" w:themeColor="text1"/>
          <w:sz w:val="44"/>
          <w14:textFill>
            <w14:solidFill>
              <w14:schemeClr w14:val="tx1"/>
            </w14:solidFill>
          </w14:textFill>
        </w:rPr>
      </w:pPr>
      <w:r>
        <w:rPr>
          <w:color w:val="000000" w:themeColor="text1"/>
          <w:sz w:val="44"/>
          <w:szCs w:val="44"/>
          <w14:textFill>
            <w14:solidFill>
              <w14:schemeClr w14:val="tx1"/>
            </w14:solidFill>
          </w14:textFill>
        </w:rPr>
        <w:t>东南大学</w:t>
      </w:r>
      <w:r>
        <w:rPr>
          <w:rFonts w:eastAsia="方正小标宋简体"/>
          <w:color w:val="000000" w:themeColor="text1"/>
          <w:sz w:val="44"/>
          <w14:textFill>
            <w14:solidFill>
              <w14:schemeClr w14:val="tx1"/>
            </w14:solidFill>
          </w14:textFill>
        </w:rPr>
        <w:t>专业学位型研究生</w:t>
      </w:r>
    </w:p>
    <w:p w14:paraId="3E6E4AE4">
      <w:pPr>
        <w:snapToGrid w:val="0"/>
        <w:spacing w:line="360" w:lineRule="auto"/>
        <w:jc w:val="center"/>
        <w:rPr>
          <w:color w:val="000000" w:themeColor="text1"/>
          <w14:textFill>
            <w14:solidFill>
              <w14:schemeClr w14:val="tx1"/>
            </w14:solidFill>
          </w14:textFill>
        </w:rPr>
      </w:pPr>
      <w:r>
        <w:rPr>
          <w:rFonts w:eastAsia="方正小标宋简体"/>
          <w:color w:val="000000" w:themeColor="text1"/>
          <w:sz w:val="44"/>
          <w14:textFill>
            <w14:solidFill>
              <w14:schemeClr w14:val="tx1"/>
            </w14:solidFill>
          </w14:textFill>
        </w:rPr>
        <w:t>学位论文开题报告及论文实施计划</w:t>
      </w:r>
    </w:p>
    <w:p w14:paraId="0918EF10">
      <w:pPr>
        <w:rPr>
          <w:color w:val="000000" w:themeColor="text1"/>
          <w14:textFill>
            <w14:solidFill>
              <w14:schemeClr w14:val="tx1"/>
            </w14:solidFill>
          </w14:textFill>
        </w:rPr>
      </w:pPr>
    </w:p>
    <w:p w14:paraId="55A365D1">
      <w:pPr>
        <w:rPr>
          <w:color w:val="000000" w:themeColor="text1"/>
          <w14:textFill>
            <w14:solidFill>
              <w14:schemeClr w14:val="tx1"/>
            </w14:solidFill>
          </w14:textFill>
        </w:rPr>
      </w:pPr>
    </w:p>
    <w:p w14:paraId="314A83DD">
      <w:pPr>
        <w:snapToGrid w:val="0"/>
        <w:spacing w:line="500" w:lineRule="exact"/>
        <w:ind w:left="2700"/>
        <w:rPr>
          <w:rFonts w:hint="eastAsia"/>
          <w:color w:val="000000" w:themeColor="text1"/>
          <w:sz w:val="28"/>
          <w14:textFill>
            <w14:solidFill>
              <w14:schemeClr w14:val="tx1"/>
            </w14:solidFill>
          </w14:textFill>
        </w:rPr>
      </w:pPr>
      <w:r>
        <w:rPr>
          <w:color w:val="000000" w:themeColor="text1"/>
          <w:sz w:val="28"/>
          <w14:textFill>
            <w14:solidFill>
              <w14:schemeClr w14:val="tx1"/>
            </w14:solidFill>
          </w14:textFill>
        </w:rPr>
        <w:t xml:space="preserve">院（系、所）  </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计算机科学与工程学院</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p>
    <w:p w14:paraId="1C55F28D">
      <w:pPr>
        <w:snapToGrid w:val="0"/>
        <w:spacing w:line="500" w:lineRule="exact"/>
        <w:ind w:left="2700"/>
        <w:rPr>
          <w:snapToGrid w:val="0"/>
          <w:color w:val="000000" w:themeColor="text1"/>
          <w:sz w:val="28"/>
          <w14:textFill>
            <w14:solidFill>
              <w14:schemeClr w14:val="tx1"/>
            </w14:solidFill>
          </w14:textFill>
        </w:rPr>
      </w:pPr>
    </w:p>
    <w:p w14:paraId="2657B472">
      <w:pPr>
        <w:snapToGrid w:val="0"/>
        <w:spacing w:line="500" w:lineRule="exact"/>
        <w:ind w:left="2700"/>
        <w:rPr>
          <w:snapToGrid w:val="0"/>
          <w:color w:val="000000" w:themeColor="text1"/>
          <w:kern w:val="4"/>
          <w:sz w:val="28"/>
          <w14:textFill>
            <w14:solidFill>
              <w14:schemeClr w14:val="tx1"/>
            </w14:solidFill>
          </w14:textFill>
        </w:rPr>
      </w:pPr>
      <w:r>
        <w:rPr>
          <w:snapToGrid w:val="0"/>
          <w:color w:val="000000" w:themeColor="text1"/>
          <w:spacing w:val="40"/>
          <w:kern w:val="16"/>
          <w:sz w:val="28"/>
          <w14:textFill>
            <w14:solidFill>
              <w14:schemeClr w14:val="tx1"/>
            </w14:solidFill>
          </w14:textFill>
        </w:rPr>
        <w:t xml:space="preserve">学位类别 </w:t>
      </w:r>
      <w:r>
        <w:rPr>
          <w:snapToGrid w:val="0"/>
          <w:color w:val="000000" w:themeColor="text1"/>
          <w:spacing w:val="40"/>
          <w:kern w:val="4"/>
          <w:sz w:val="28"/>
          <w14:textFill>
            <w14:solidFill>
              <w14:schemeClr w14:val="tx1"/>
            </w14:solidFill>
          </w14:textFill>
        </w:rPr>
        <w:t xml:space="preserve"> </w:t>
      </w:r>
      <w:r>
        <w:rPr>
          <w:snapToGrid w:val="0"/>
          <w:color w:val="000000" w:themeColor="text1"/>
          <w:kern w:val="4"/>
          <w:sz w:val="28"/>
          <w14:textFill>
            <w14:solidFill>
              <w14:schemeClr w14:val="tx1"/>
            </w14:solidFill>
          </w14:textFill>
        </w:rPr>
        <w:t xml:space="preserve"> ＿＿</w:t>
      </w:r>
      <w:r>
        <w:rPr>
          <w:snapToGrid w:val="0"/>
          <w:color w:val="000000" w:themeColor="text1"/>
          <w:kern w:val="4"/>
          <w:sz w:val="28"/>
          <w:u w:val="single"/>
          <w14:textFill>
            <w14:solidFill>
              <w14:schemeClr w14:val="tx1"/>
            </w14:solidFill>
          </w14:textFill>
        </w:rPr>
        <w:t>电子信息硕士</w:t>
      </w:r>
      <w:r>
        <w:rPr>
          <w:snapToGrid w:val="0"/>
          <w:color w:val="000000" w:themeColor="text1"/>
          <w:kern w:val="4"/>
          <w:sz w:val="28"/>
          <w14:textFill>
            <w14:solidFill>
              <w14:schemeClr w14:val="tx1"/>
            </w14:solidFill>
          </w14:textFill>
        </w:rPr>
        <w:t>＿＿＿＿＿＿＿＿</w:t>
      </w:r>
    </w:p>
    <w:p w14:paraId="753EEF0E">
      <w:pPr>
        <w:snapToGrid w:val="0"/>
        <w:spacing w:line="500" w:lineRule="exact"/>
        <w:ind w:left="2700"/>
        <w:rPr>
          <w:snapToGrid w:val="0"/>
          <w:color w:val="000000" w:themeColor="text1"/>
          <w:sz w:val="28"/>
          <w14:textFill>
            <w14:solidFill>
              <w14:schemeClr w14:val="tx1"/>
            </w14:solidFill>
          </w14:textFill>
        </w:rPr>
      </w:pPr>
    </w:p>
    <w:p w14:paraId="4A5E834C">
      <w:pPr>
        <w:snapToGrid w:val="0"/>
        <w:spacing w:line="500" w:lineRule="exact"/>
        <w:ind w:left="2700"/>
        <w:rPr>
          <w:color w:val="000000" w:themeColor="text1"/>
          <w:spacing w:val="40"/>
          <w:kern w:val="10"/>
          <w:sz w:val="28"/>
          <w14:textFill>
            <w14:solidFill>
              <w14:schemeClr w14:val="tx1"/>
            </w14:solidFill>
          </w14:textFill>
        </w:rPr>
      </w:pPr>
      <w:r>
        <w:rPr>
          <w:snapToGrid w:val="0"/>
          <w:color w:val="000000" w:themeColor="text1"/>
          <w:spacing w:val="40"/>
          <w:kern w:val="10"/>
          <w:sz w:val="28"/>
          <w14:textFill>
            <w14:solidFill>
              <w14:schemeClr w14:val="tx1"/>
            </w14:solidFill>
          </w14:textFill>
        </w:rPr>
        <w:t xml:space="preserve">专业领域   </w:t>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计算机技术</w:t>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ab/>
      </w:r>
      <w:r>
        <w:rPr>
          <w:color w:val="000000" w:themeColor="text1"/>
          <w:spacing w:val="40"/>
          <w:kern w:val="10"/>
          <w:sz w:val="28"/>
          <w:u w:val="single"/>
          <w14:textFill>
            <w14:solidFill>
              <w14:schemeClr w14:val="tx1"/>
            </w14:solidFill>
          </w14:textFill>
        </w:rPr>
        <w:tab/>
      </w:r>
    </w:p>
    <w:p w14:paraId="06310B47">
      <w:pPr>
        <w:snapToGrid w:val="0"/>
        <w:spacing w:line="500" w:lineRule="exact"/>
        <w:ind w:left="2700"/>
        <w:rPr>
          <w:color w:val="000000" w:themeColor="text1"/>
          <w:sz w:val="28"/>
          <w14:textFill>
            <w14:solidFill>
              <w14:schemeClr w14:val="tx1"/>
            </w14:solidFill>
          </w14:textFill>
        </w:rPr>
      </w:pPr>
    </w:p>
    <w:p w14:paraId="5C12BC5E">
      <w:pPr>
        <w:snapToGrid w:val="0"/>
        <w:spacing w:line="500" w:lineRule="exact"/>
        <w:ind w:left="2700"/>
        <w:rPr>
          <w:color w:val="000000" w:themeColor="text1"/>
          <w:sz w:val="28"/>
          <w14:textFill>
            <w14:solidFill>
              <w14:schemeClr w14:val="tx1"/>
            </w14:solidFill>
          </w14:textFill>
        </w:rPr>
      </w:pPr>
      <w:r>
        <w:rPr>
          <w:color w:val="000000" w:themeColor="text1"/>
          <w:sz w:val="28"/>
          <w14:textFill>
            <w14:solidFill>
              <w14:schemeClr w14:val="tx1"/>
            </w14:solidFill>
          </w14:textFill>
        </w:rPr>
        <w:t>研究生姓名　</w:t>
      </w:r>
      <w:r>
        <w:rPr>
          <w:color w:val="000000" w:themeColor="text1"/>
          <w:sz w:val="28"/>
          <w:u w:val="single"/>
          <w14:textFill>
            <w14:solidFill>
              <w14:schemeClr w14:val="tx1"/>
            </w14:solidFill>
          </w14:textFill>
        </w:rPr>
        <w:t>＿＿＿＿杨冰点＿＿＿＿＿＿</w:t>
      </w:r>
    </w:p>
    <w:p w14:paraId="49F7DEED">
      <w:pPr>
        <w:snapToGrid w:val="0"/>
        <w:spacing w:line="500" w:lineRule="exact"/>
        <w:ind w:left="2700"/>
        <w:rPr>
          <w:color w:val="000000" w:themeColor="text1"/>
          <w:sz w:val="28"/>
          <w14:textFill>
            <w14:solidFill>
              <w14:schemeClr w14:val="tx1"/>
            </w14:solidFill>
          </w14:textFill>
        </w:rPr>
      </w:pPr>
    </w:p>
    <w:p w14:paraId="314B7699">
      <w:pPr>
        <w:snapToGrid w:val="0"/>
        <w:spacing w:line="500" w:lineRule="exact"/>
        <w:ind w:left="2700"/>
        <w:rPr>
          <w:color w:val="000000" w:themeColor="text1"/>
          <w:sz w:val="28"/>
          <w14:textFill>
            <w14:solidFill>
              <w14:schemeClr w14:val="tx1"/>
            </w14:solidFill>
          </w14:textFill>
        </w:rPr>
      </w:pPr>
      <w:r>
        <w:rPr>
          <w:color w:val="000000" w:themeColor="text1"/>
          <w:sz w:val="28"/>
          <w14:textFill>
            <w14:solidFill>
              <w14:schemeClr w14:val="tx1"/>
            </w14:solidFill>
          </w14:textFill>
        </w:rPr>
        <w:t>指导教师（校内）</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徐翔宇</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w:t>
      </w:r>
    </w:p>
    <w:p w14:paraId="2BB97FCB">
      <w:pPr>
        <w:snapToGrid w:val="0"/>
        <w:spacing w:line="500" w:lineRule="exact"/>
        <w:ind w:left="2700"/>
        <w:rPr>
          <w:color w:val="000000" w:themeColor="text1"/>
          <w:sz w:val="28"/>
          <w14:textFill>
            <w14:solidFill>
              <w14:schemeClr w14:val="tx1"/>
            </w14:solidFill>
          </w14:textFill>
        </w:rPr>
      </w:pPr>
    </w:p>
    <w:p w14:paraId="4D608AC0">
      <w:pPr>
        <w:snapToGrid w:val="0"/>
        <w:spacing w:line="500" w:lineRule="exact"/>
        <w:ind w:left="2700"/>
        <w:rPr>
          <w:color w:val="000000" w:themeColor="text1"/>
          <w:sz w:val="28"/>
          <w14:textFill>
            <w14:solidFill>
              <w14:schemeClr w14:val="tx1"/>
            </w14:solidFill>
          </w14:textFill>
        </w:rPr>
      </w:pPr>
      <w:r>
        <w:rPr>
          <w:color w:val="000000" w:themeColor="text1"/>
          <w:sz w:val="28"/>
          <w14:textFill>
            <w14:solidFill>
              <w14:schemeClr w14:val="tx1"/>
            </w14:solidFill>
          </w14:textFill>
        </w:rPr>
        <w:t>指导教师（校外）</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p>
    <w:p w14:paraId="748A85CB">
      <w:pPr>
        <w:snapToGrid w:val="0"/>
        <w:spacing w:line="500" w:lineRule="exact"/>
        <w:ind w:left="2700"/>
        <w:rPr>
          <w:color w:val="000000" w:themeColor="text1"/>
          <w:sz w:val="28"/>
          <w14:textFill>
            <w14:solidFill>
              <w14:schemeClr w14:val="tx1"/>
            </w14:solidFill>
          </w14:textFill>
        </w:rPr>
      </w:pPr>
    </w:p>
    <w:p w14:paraId="1DA94EF5">
      <w:pPr>
        <w:snapToGrid w:val="0"/>
        <w:spacing w:line="500" w:lineRule="exact"/>
        <w:ind w:left="2700"/>
        <w:rPr>
          <w:color w:val="000000" w:themeColor="text1"/>
          <w:sz w:val="28"/>
          <w14:textFill>
            <w14:solidFill>
              <w14:schemeClr w14:val="tx1"/>
            </w14:solidFill>
          </w14:textFill>
        </w:rPr>
      </w:pPr>
      <w:r>
        <w:rPr>
          <w:color w:val="000000" w:themeColor="text1"/>
          <w:sz w:val="28"/>
          <w14:textFill>
            <w14:solidFill>
              <w14:schemeClr w14:val="tx1"/>
            </w14:solidFill>
          </w14:textFill>
        </w:rPr>
        <w:t>开题报告日期</w:t>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r>
        <w:rPr>
          <w:color w:val="000000" w:themeColor="text1"/>
          <w:sz w:val="28"/>
          <w:u w:val="single"/>
          <w14:textFill>
            <w14:solidFill>
              <w14:schemeClr w14:val="tx1"/>
            </w14:solidFill>
          </w14:textFill>
        </w:rPr>
        <w:tab/>
      </w:r>
    </w:p>
    <w:p w14:paraId="163FDFF8">
      <w:pPr>
        <w:snapToGrid w:val="0"/>
        <w:spacing w:line="500" w:lineRule="exact"/>
        <w:ind w:left="2700"/>
        <w:rPr>
          <w:color w:val="000000" w:themeColor="text1"/>
          <w:sz w:val="28"/>
          <w:u w:val="single"/>
          <w14:textFill>
            <w14:solidFill>
              <w14:schemeClr w14:val="tx1"/>
            </w14:solidFill>
          </w14:textFill>
        </w:rPr>
      </w:pPr>
    </w:p>
    <w:p w14:paraId="4E49D4F3">
      <w:pPr>
        <w:snapToGrid w:val="0"/>
        <w:spacing w:line="440" w:lineRule="exact"/>
        <w:rPr>
          <w:color w:val="000000" w:themeColor="text1"/>
          <w:sz w:val="28"/>
          <w14:textFill>
            <w14:solidFill>
              <w14:schemeClr w14:val="tx1"/>
            </w14:solidFill>
          </w14:textFill>
        </w:rPr>
      </w:pPr>
    </w:p>
    <w:p w14:paraId="77F87410">
      <w:pPr>
        <w:snapToGrid w:val="0"/>
        <w:spacing w:line="440" w:lineRule="exact"/>
        <w:rPr>
          <w:color w:val="000000" w:themeColor="text1"/>
          <w:sz w:val="28"/>
          <w14:textFill>
            <w14:solidFill>
              <w14:schemeClr w14:val="tx1"/>
            </w14:solidFill>
          </w14:textFill>
        </w:rPr>
      </w:pPr>
    </w:p>
    <w:p w14:paraId="7B786D5C">
      <w:pPr>
        <w:snapToGrid w:val="0"/>
        <w:spacing w:line="440" w:lineRule="exact"/>
        <w:rPr>
          <w:color w:val="000000" w:themeColor="text1"/>
          <w:sz w:val="28"/>
          <w14:textFill>
            <w14:solidFill>
              <w14:schemeClr w14:val="tx1"/>
            </w14:solidFill>
          </w14:textFill>
        </w:rPr>
      </w:pPr>
    </w:p>
    <w:p w14:paraId="637A5CD6">
      <w:pPr>
        <w:snapToGrid w:val="0"/>
        <w:spacing w:line="440" w:lineRule="exact"/>
        <w:rPr>
          <w:color w:val="000000" w:themeColor="text1"/>
          <w:sz w:val="28"/>
          <w14:textFill>
            <w14:solidFill>
              <w14:schemeClr w14:val="tx1"/>
            </w14:solidFill>
          </w14:textFill>
        </w:rPr>
      </w:pPr>
    </w:p>
    <w:p w14:paraId="5E60A8DD">
      <w:pPr>
        <w:snapToGrid w:val="0"/>
        <w:spacing w:before="360" w:after="360"/>
        <w:jc w:val="center"/>
        <w:rPr>
          <w:color w:val="000000" w:themeColor="text1"/>
          <w:sz w:val="44"/>
          <w:szCs w:val="44"/>
          <w14:textFill>
            <w14:solidFill>
              <w14:schemeClr w14:val="tx1"/>
            </w14:solidFill>
          </w14:textFill>
        </w:rPr>
      </w:pPr>
      <w:r>
        <w:rPr>
          <w:color w:val="000000" w:themeColor="text1"/>
          <w:sz w:val="32"/>
          <w:szCs w:val="32"/>
          <w14:textFill>
            <w14:solidFill>
              <w14:schemeClr w14:val="tx1"/>
            </w14:solidFill>
          </w14:textFill>
        </w:rPr>
        <w:t>东南大学研究生院制表</w:t>
      </w:r>
    </w:p>
    <w:p w14:paraId="414C1931">
      <w:pPr>
        <w:snapToGrid w:val="0"/>
        <w:spacing w:before="360" w:after="360"/>
        <w:ind w:firstLine="3520" w:firstLineChars="800"/>
        <w:rPr>
          <w:rFonts w:eastAsia="方正小标宋简体"/>
          <w:color w:val="000000" w:themeColor="text1"/>
          <w:sz w:val="44"/>
          <w14:textFill>
            <w14:solidFill>
              <w14:schemeClr w14:val="tx1"/>
            </w14:solidFill>
          </w14:textFill>
        </w:rPr>
      </w:pPr>
      <w:r>
        <w:rPr>
          <w:color w:val="000000" w:themeColor="text1"/>
          <w:sz w:val="44"/>
          <w:szCs w:val="44"/>
          <w14:textFill>
            <w14:solidFill>
              <w14:schemeClr w14:val="tx1"/>
            </w14:solidFill>
          </w14:textFill>
        </w:rPr>
        <w:t>填</w:t>
      </w:r>
      <w:r>
        <w:rPr>
          <w:rFonts w:eastAsia="方正小标宋简体"/>
          <w:color w:val="000000" w:themeColor="text1"/>
          <w:sz w:val="44"/>
          <w:szCs w:val="44"/>
          <w14:textFill>
            <w14:solidFill>
              <w14:schemeClr w14:val="tx1"/>
            </w14:solidFill>
          </w14:textFill>
        </w:rPr>
        <w:t xml:space="preserve"> </w:t>
      </w:r>
      <w:r>
        <w:rPr>
          <w:rFonts w:eastAsia="方正小标宋简体"/>
          <w:color w:val="000000" w:themeColor="text1"/>
          <w:sz w:val="44"/>
          <w14:textFill>
            <w14:solidFill>
              <w14:schemeClr w14:val="tx1"/>
            </w14:solidFill>
          </w14:textFill>
        </w:rPr>
        <w:t>表 须 知</w:t>
      </w:r>
    </w:p>
    <w:p w14:paraId="2F68E836">
      <w:pPr>
        <w:numPr>
          <w:ilvl w:val="0"/>
          <w:numId w:val="1"/>
        </w:num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论文开题报告由研究生本人向审议小组报告并听取意见后，由研究生本人填写此表。</w:t>
      </w:r>
    </w:p>
    <w:p w14:paraId="14B7DF97">
      <w:pPr>
        <w:numPr>
          <w:ilvl w:val="0"/>
          <w:numId w:val="1"/>
        </w:numPr>
        <w:spacing w:line="360" w:lineRule="auto"/>
        <w:rPr>
          <w:color w:val="000000" w:themeColor="text1"/>
          <w14:textFill>
            <w14:solidFill>
              <w14:schemeClr w14:val="tx1"/>
            </w14:solidFill>
          </w14:textFill>
        </w:rPr>
      </w:pPr>
      <w:r>
        <w:rPr>
          <w:color w:val="000000" w:themeColor="text1"/>
          <w14:textFill>
            <w14:solidFill>
              <w14:schemeClr w14:val="tx1"/>
            </w14:solidFill>
          </w14:textFill>
        </w:rPr>
        <w:t>论文开题报告填写完成后，必须经导师审批，通过后方能提交。</w:t>
      </w:r>
    </w:p>
    <w:p w14:paraId="63837FD2">
      <w:pPr>
        <w:spacing w:line="360" w:lineRule="auto"/>
        <w:ind w:left="210" w:leftChars="100" w:firstLine="210" w:firstLineChars="100"/>
        <w:rPr>
          <w:color w:val="000000" w:themeColor="text1"/>
          <w14:textFill>
            <w14:solidFill>
              <w14:schemeClr w14:val="tx1"/>
            </w14:solidFill>
          </w14:textFill>
        </w:rPr>
      </w:pPr>
      <w:r>
        <w:rPr>
          <w:color w:val="000000" w:themeColor="text1"/>
          <w14:textFill>
            <w14:solidFill>
              <w14:schemeClr w14:val="tx1"/>
            </w14:solidFill>
          </w14:textFill>
        </w:rPr>
        <w:t>3、博士生应在第四学期内、硕士生应在第三学期内完成此开题报告。开题报告经研究生秘书在网上审核确认（硕士生至少半年、博士生至少一年）后方可申请答辩。</w:t>
      </w:r>
    </w:p>
    <w:p w14:paraId="68525C34">
      <w:pPr>
        <w:spacing w:line="360" w:lineRule="auto"/>
        <w:ind w:left="210" w:leftChars="100" w:firstLine="210" w:firstLineChars="100"/>
        <w:rPr>
          <w:color w:val="000000" w:themeColor="text1"/>
          <w14:textFill>
            <w14:solidFill>
              <w14:schemeClr w14:val="tx1"/>
            </w14:solidFill>
          </w14:textFill>
        </w:rPr>
      </w:pPr>
      <w:r>
        <w:rPr>
          <w:color w:val="000000" w:themeColor="text1"/>
          <w14:textFill>
            <w14:solidFill>
              <w14:schemeClr w14:val="tx1"/>
            </w14:solidFill>
          </w14:textFill>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51D701C6">
      <w:pPr>
        <w:spacing w:line="360" w:lineRule="auto"/>
        <w:ind w:left="210" w:leftChars="100" w:firstLine="210" w:firstLineChars="100"/>
        <w:rPr>
          <w:color w:val="000000" w:themeColor="text1"/>
          <w14:textFill>
            <w14:solidFill>
              <w14:schemeClr w14:val="tx1"/>
            </w14:solidFill>
          </w14:textFill>
        </w:rPr>
      </w:pPr>
      <w:r>
        <w:rPr>
          <w:color w:val="000000" w:themeColor="text1"/>
          <w14:textFill>
            <w14:solidFill>
              <w14:schemeClr w14:val="tx1"/>
            </w14:solidFill>
          </w14:textFill>
        </w:rPr>
        <w:t>5、本表一式两份，一份研究生自留放入本人“研究生档案材料袋”；一份由院（系、所）保存并归入院（系、所）研究生教学档案。</w:t>
      </w:r>
    </w:p>
    <w:p w14:paraId="48929742">
      <w:pPr>
        <w:ind w:firstLine="420" w:firstLineChars="200"/>
        <w:rPr>
          <w:color w:val="000000" w:themeColor="text1"/>
          <w:szCs w:val="21"/>
          <w14:textFill>
            <w14:solidFill>
              <w14:schemeClr w14:val="tx1"/>
            </w14:solidFill>
          </w14:textFill>
        </w:rPr>
      </w:pPr>
      <w:r>
        <w:rPr>
          <w:color w:val="000000" w:themeColor="text1"/>
          <w14:textFill>
            <w14:solidFill>
              <w14:schemeClr w14:val="tx1"/>
            </w14:solidFill>
          </w14:textFill>
        </w:rPr>
        <w:t>6、</w:t>
      </w:r>
      <w:r>
        <w:rPr>
          <w:color w:val="000000" w:themeColor="text1"/>
          <w:szCs w:val="21"/>
          <w14:textFill>
            <w14:solidFill>
              <w14:schemeClr w14:val="tx1"/>
            </w14:solidFill>
          </w14:textFill>
        </w:rPr>
        <w:t>学位类别为：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3A615DB2">
      <w:pPr>
        <w:spacing w:line="360" w:lineRule="auto"/>
        <w:ind w:left="141" w:leftChars="67" w:firstLine="315" w:firstLineChars="150"/>
        <w:rPr>
          <w:color w:val="000000" w:themeColor="text1"/>
          <w14:textFill>
            <w14:solidFill>
              <w14:schemeClr w14:val="tx1"/>
            </w14:solidFill>
          </w14:textFill>
        </w:rPr>
      </w:pPr>
      <w:r>
        <w:rPr>
          <w:color w:val="000000" w:themeColor="text1"/>
          <w14:textFill>
            <w14:solidFill>
              <w14:schemeClr w14:val="tx1"/>
            </w14:solidFill>
          </w14:textFill>
        </w:rPr>
        <w:t>7、本表下载区：http://seugs.seu.edu.cn/3676/list.htm 。本表电子文档打印时用A4纸张，格式不变，内容较多可以加页。</w:t>
      </w:r>
    </w:p>
    <w:p w14:paraId="021C3BDD">
      <w:pPr>
        <w:widowControl/>
        <w:ind w:firstLine="420" w:firstLineChars="200"/>
        <w:jc w:val="left"/>
        <w:rPr>
          <w:color w:val="000000" w:themeColor="text1"/>
          <w14:textFill>
            <w14:solidFill>
              <w14:schemeClr w14:val="tx1"/>
            </w14:solidFill>
          </w14:textFill>
        </w:rPr>
      </w:pPr>
    </w:p>
    <w:p w14:paraId="409DE93A">
      <w:pPr>
        <w:widowControl/>
        <w:jc w:val="left"/>
        <w:rPr>
          <w:color w:val="000000" w:themeColor="text1"/>
          <w14:textFill>
            <w14:solidFill>
              <w14:schemeClr w14:val="tx1"/>
            </w14:solidFill>
          </w14:textFill>
        </w:rPr>
      </w:pPr>
    </w:p>
    <w:p w14:paraId="538778EB">
      <w:pPr>
        <w:spacing w:line="400" w:lineRule="exact"/>
        <w:ind w:firstLine="480"/>
        <w:jc w:val="center"/>
        <w:rPr>
          <w:color w:val="000000" w:themeColor="text1"/>
          <w14:textFill>
            <w14:solidFill>
              <w14:schemeClr w14:val="tx1"/>
            </w14:solidFill>
          </w14:textFill>
        </w:rPr>
      </w:pPr>
    </w:p>
    <w:p w14:paraId="0E762EAC">
      <w:pPr>
        <w:spacing w:line="400" w:lineRule="exact"/>
        <w:ind w:firstLine="480"/>
        <w:jc w:val="center"/>
        <w:rPr>
          <w:color w:val="000000" w:themeColor="text1"/>
          <w14:textFill>
            <w14:solidFill>
              <w14:schemeClr w14:val="tx1"/>
            </w14:solidFill>
          </w14:textFill>
        </w:rPr>
      </w:pPr>
    </w:p>
    <w:p w14:paraId="043E0AFE">
      <w:pPr>
        <w:spacing w:line="400" w:lineRule="exact"/>
        <w:ind w:firstLine="480"/>
        <w:jc w:val="center"/>
        <w:rPr>
          <w:color w:val="000000" w:themeColor="text1"/>
          <w14:textFill>
            <w14:solidFill>
              <w14:schemeClr w14:val="tx1"/>
            </w14:solidFill>
          </w14:textFill>
        </w:rPr>
      </w:pPr>
    </w:p>
    <w:p w14:paraId="393F276C">
      <w:pPr>
        <w:spacing w:line="400" w:lineRule="exact"/>
        <w:ind w:firstLine="480"/>
        <w:jc w:val="center"/>
        <w:rPr>
          <w:color w:val="000000" w:themeColor="text1"/>
          <w14:textFill>
            <w14:solidFill>
              <w14:schemeClr w14:val="tx1"/>
            </w14:solidFill>
          </w14:textFill>
        </w:rPr>
      </w:pPr>
    </w:p>
    <w:p w14:paraId="11D2FDF9">
      <w:pPr>
        <w:spacing w:line="400" w:lineRule="exact"/>
        <w:ind w:firstLine="480"/>
        <w:jc w:val="center"/>
        <w:rPr>
          <w:color w:val="000000" w:themeColor="text1"/>
          <w14:textFill>
            <w14:solidFill>
              <w14:schemeClr w14:val="tx1"/>
            </w14:solidFill>
          </w14:textFill>
        </w:rPr>
      </w:pPr>
    </w:p>
    <w:p w14:paraId="6B9B391F">
      <w:pPr>
        <w:spacing w:line="400" w:lineRule="exact"/>
        <w:ind w:firstLine="480"/>
        <w:jc w:val="center"/>
        <w:rPr>
          <w:color w:val="000000" w:themeColor="text1"/>
          <w14:textFill>
            <w14:solidFill>
              <w14:schemeClr w14:val="tx1"/>
            </w14:solidFill>
          </w14:textFill>
        </w:rPr>
      </w:pPr>
    </w:p>
    <w:p w14:paraId="1C663001">
      <w:pPr>
        <w:spacing w:line="400" w:lineRule="exact"/>
        <w:ind w:firstLine="480"/>
        <w:jc w:val="center"/>
        <w:rPr>
          <w:color w:val="000000" w:themeColor="text1"/>
          <w14:textFill>
            <w14:solidFill>
              <w14:schemeClr w14:val="tx1"/>
            </w14:solidFill>
          </w14:textFill>
        </w:rPr>
      </w:pPr>
    </w:p>
    <w:p w14:paraId="5AC638D3">
      <w:pPr>
        <w:spacing w:line="400" w:lineRule="exact"/>
        <w:ind w:firstLine="480"/>
        <w:jc w:val="center"/>
        <w:rPr>
          <w:color w:val="000000" w:themeColor="text1"/>
          <w14:textFill>
            <w14:solidFill>
              <w14:schemeClr w14:val="tx1"/>
            </w14:solidFill>
          </w14:textFill>
        </w:rPr>
      </w:pPr>
    </w:p>
    <w:p w14:paraId="4FA90AF7">
      <w:pPr>
        <w:spacing w:line="400" w:lineRule="exact"/>
        <w:ind w:firstLine="480"/>
        <w:jc w:val="center"/>
        <w:rPr>
          <w:color w:val="000000" w:themeColor="text1"/>
          <w14:textFill>
            <w14:solidFill>
              <w14:schemeClr w14:val="tx1"/>
            </w14:solidFill>
          </w14:textFill>
        </w:rPr>
      </w:pPr>
    </w:p>
    <w:p w14:paraId="0B4A7D8D">
      <w:pPr>
        <w:spacing w:line="400" w:lineRule="exact"/>
        <w:ind w:firstLine="480"/>
        <w:jc w:val="center"/>
        <w:rPr>
          <w:color w:val="000000" w:themeColor="text1"/>
          <w14:textFill>
            <w14:solidFill>
              <w14:schemeClr w14:val="tx1"/>
            </w14:solidFill>
          </w14:textFill>
        </w:rPr>
      </w:pPr>
    </w:p>
    <w:p w14:paraId="67CE020A">
      <w:pPr>
        <w:spacing w:line="400" w:lineRule="exact"/>
        <w:ind w:firstLine="480"/>
        <w:jc w:val="center"/>
        <w:rPr>
          <w:color w:val="000000" w:themeColor="text1"/>
          <w14:textFill>
            <w14:solidFill>
              <w14:schemeClr w14:val="tx1"/>
            </w14:solidFill>
          </w14:textFill>
        </w:rPr>
      </w:pPr>
    </w:p>
    <w:p w14:paraId="30BF00F1">
      <w:pPr>
        <w:spacing w:line="400" w:lineRule="exact"/>
        <w:ind w:firstLine="480"/>
        <w:jc w:val="center"/>
        <w:rPr>
          <w:color w:val="000000" w:themeColor="text1"/>
          <w14:textFill>
            <w14:solidFill>
              <w14:schemeClr w14:val="tx1"/>
            </w14:solidFill>
          </w14:textFill>
        </w:rPr>
      </w:pPr>
    </w:p>
    <w:p w14:paraId="4DE8F5A0">
      <w:pPr>
        <w:spacing w:line="400" w:lineRule="exact"/>
        <w:ind w:firstLine="480"/>
        <w:jc w:val="center"/>
        <w:rPr>
          <w:color w:val="000000" w:themeColor="text1"/>
          <w14:textFill>
            <w14:solidFill>
              <w14:schemeClr w14:val="tx1"/>
            </w14:solidFill>
          </w14:textFill>
        </w:rPr>
      </w:pPr>
    </w:p>
    <w:p w14:paraId="3D6CAF50">
      <w:pPr>
        <w:spacing w:line="400" w:lineRule="exact"/>
        <w:ind w:firstLine="480"/>
        <w:jc w:val="center"/>
        <w:rPr>
          <w:color w:val="000000" w:themeColor="text1"/>
          <w14:textFill>
            <w14:solidFill>
              <w14:schemeClr w14:val="tx1"/>
            </w14:solidFill>
          </w14:textFill>
        </w:rPr>
      </w:pPr>
    </w:p>
    <w:p w14:paraId="702DE6FD">
      <w:pPr>
        <w:spacing w:line="400" w:lineRule="exact"/>
        <w:ind w:firstLine="480"/>
        <w:jc w:val="center"/>
        <w:rPr>
          <w:color w:val="000000" w:themeColor="text1"/>
          <w14:textFill>
            <w14:solidFill>
              <w14:schemeClr w14:val="tx1"/>
            </w14:solidFill>
          </w14:textFill>
        </w:rPr>
      </w:pPr>
    </w:p>
    <w:p w14:paraId="1C5DFAA6">
      <w:pPr>
        <w:spacing w:after="120" w:line="400" w:lineRule="exact"/>
        <w:rPr>
          <w:rFonts w:eastAsia="黑体"/>
          <w:color w:val="000000" w:themeColor="text1"/>
          <w:sz w:val="32"/>
          <w14:textFill>
            <w14:solidFill>
              <w14:schemeClr w14:val="tx1"/>
            </w14:solidFill>
          </w14:textFill>
        </w:rPr>
      </w:pPr>
      <w:r>
        <w:rPr>
          <w:rFonts w:eastAsia="黑体"/>
          <w:color w:val="000000" w:themeColor="text1"/>
          <w:sz w:val="32"/>
          <w14:textFill>
            <w14:solidFill>
              <w14:schemeClr w14:val="tx1"/>
            </w14:solidFill>
          </w14:textFill>
        </w:rPr>
        <w:t>一、学位论文开题报告</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6" w:type="dxa"/>
          <w:bottom w:w="0" w:type="dxa"/>
          <w:right w:w="56" w:type="dxa"/>
        </w:tblCellMar>
      </w:tblPr>
      <w:tblGrid>
        <w:gridCol w:w="1247"/>
        <w:gridCol w:w="728"/>
        <w:gridCol w:w="728"/>
        <w:gridCol w:w="553"/>
        <w:gridCol w:w="822"/>
        <w:gridCol w:w="978"/>
        <w:gridCol w:w="634"/>
        <w:gridCol w:w="1121"/>
        <w:gridCol w:w="947"/>
        <w:gridCol w:w="1870"/>
      </w:tblGrid>
      <w:tr w14:paraId="1C9E1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717" w:hRule="atLeast"/>
          <w:jc w:val="center"/>
        </w:trPr>
        <w:tc>
          <w:tcPr>
            <w:tcW w:w="648" w:type="pct"/>
            <w:vAlign w:val="center"/>
          </w:tcPr>
          <w:p w14:paraId="1A2EABC5">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论 文                题 目</w:t>
            </w:r>
          </w:p>
        </w:tc>
        <w:tc>
          <w:tcPr>
            <w:tcW w:w="4352" w:type="pct"/>
            <w:gridSpan w:val="9"/>
            <w:vAlign w:val="center"/>
          </w:tcPr>
          <w:p w14:paraId="44EF303C">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基于人体发声振动信号多模态感知的VR用户身份认证研究</w:t>
            </w:r>
          </w:p>
        </w:tc>
      </w:tr>
      <w:tr w14:paraId="50FB4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360" w:hRule="atLeast"/>
          <w:jc w:val="center"/>
        </w:trPr>
        <w:tc>
          <w:tcPr>
            <w:tcW w:w="648" w:type="pct"/>
            <w:vAlign w:val="center"/>
          </w:tcPr>
          <w:p w14:paraId="64147252">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研 究</w:t>
            </w:r>
          </w:p>
          <w:p w14:paraId="565F8EDB">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方 向</w:t>
            </w:r>
          </w:p>
        </w:tc>
        <w:tc>
          <w:tcPr>
            <w:tcW w:w="4352" w:type="pct"/>
            <w:gridSpan w:val="9"/>
            <w:vAlign w:val="center"/>
          </w:tcPr>
          <w:p w14:paraId="7AE8A9EB">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人机交互安全</w:t>
            </w:r>
          </w:p>
        </w:tc>
      </w:tr>
      <w:tr w14:paraId="494E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360" w:hRule="atLeast"/>
          <w:jc w:val="center"/>
        </w:trPr>
        <w:tc>
          <w:tcPr>
            <w:tcW w:w="648" w:type="pct"/>
            <w:vMerge w:val="restart"/>
            <w:vAlign w:val="center"/>
          </w:tcPr>
          <w:p w14:paraId="4F43E7CA">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题 目    来 源</w:t>
            </w:r>
          </w:p>
        </w:tc>
        <w:tc>
          <w:tcPr>
            <w:tcW w:w="378" w:type="pct"/>
            <w:vAlign w:val="center"/>
          </w:tcPr>
          <w:p w14:paraId="2726564A">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国家</w:t>
            </w:r>
          </w:p>
        </w:tc>
        <w:tc>
          <w:tcPr>
            <w:tcW w:w="378" w:type="pct"/>
            <w:vAlign w:val="center"/>
          </w:tcPr>
          <w:p w14:paraId="6D0D4200">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部委</w:t>
            </w:r>
          </w:p>
        </w:tc>
        <w:tc>
          <w:tcPr>
            <w:tcW w:w="287" w:type="pct"/>
            <w:vAlign w:val="center"/>
          </w:tcPr>
          <w:p w14:paraId="2CC1702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省</w:t>
            </w:r>
          </w:p>
        </w:tc>
        <w:tc>
          <w:tcPr>
            <w:tcW w:w="427" w:type="pct"/>
            <w:vAlign w:val="center"/>
          </w:tcPr>
          <w:p w14:paraId="48C7750F">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市</w:t>
            </w:r>
          </w:p>
        </w:tc>
        <w:tc>
          <w:tcPr>
            <w:tcW w:w="508" w:type="pct"/>
            <w:vAlign w:val="center"/>
          </w:tcPr>
          <w:p w14:paraId="32774BA2">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厂、矿</w:t>
            </w:r>
          </w:p>
        </w:tc>
        <w:tc>
          <w:tcPr>
            <w:tcW w:w="329" w:type="pct"/>
            <w:vAlign w:val="center"/>
          </w:tcPr>
          <w:p w14:paraId="5B0737E4">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自选</w:t>
            </w:r>
          </w:p>
        </w:tc>
        <w:tc>
          <w:tcPr>
            <w:tcW w:w="582" w:type="pct"/>
            <w:vAlign w:val="center"/>
          </w:tcPr>
          <w:p w14:paraId="592803E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有无合同</w:t>
            </w:r>
          </w:p>
        </w:tc>
        <w:tc>
          <w:tcPr>
            <w:tcW w:w="492" w:type="pct"/>
            <w:vAlign w:val="center"/>
          </w:tcPr>
          <w:p w14:paraId="59F23E02">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经费数</w:t>
            </w:r>
          </w:p>
        </w:tc>
        <w:tc>
          <w:tcPr>
            <w:tcW w:w="972" w:type="pct"/>
            <w:vAlign w:val="center"/>
          </w:tcPr>
          <w:p w14:paraId="641FBC5F">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备注</w:t>
            </w:r>
          </w:p>
        </w:tc>
      </w:tr>
      <w:tr w14:paraId="07A1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cantSplit/>
          <w:trHeight w:val="360" w:hRule="atLeast"/>
          <w:jc w:val="center"/>
        </w:trPr>
        <w:tc>
          <w:tcPr>
            <w:tcW w:w="648" w:type="pct"/>
            <w:vMerge w:val="continue"/>
            <w:vAlign w:val="center"/>
          </w:tcPr>
          <w:p w14:paraId="1A2C48BA">
            <w:pPr>
              <w:spacing w:line="360" w:lineRule="auto"/>
              <w:jc w:val="center"/>
              <w:rPr>
                <w:color w:val="000000" w:themeColor="text1"/>
                <w:sz w:val="24"/>
                <w14:textFill>
                  <w14:solidFill>
                    <w14:schemeClr w14:val="tx1"/>
                  </w14:solidFill>
                </w14:textFill>
              </w:rPr>
            </w:pPr>
          </w:p>
        </w:tc>
        <w:tc>
          <w:tcPr>
            <w:tcW w:w="378" w:type="pct"/>
            <w:vAlign w:val="center"/>
          </w:tcPr>
          <w:p w14:paraId="53F6422C">
            <w:pPr>
              <w:spacing w:line="360" w:lineRule="auto"/>
              <w:jc w:val="center"/>
              <w:rPr>
                <w:color w:val="000000" w:themeColor="text1"/>
                <w:sz w:val="24"/>
                <w14:textFill>
                  <w14:solidFill>
                    <w14:schemeClr w14:val="tx1"/>
                  </w14:solidFill>
                </w14:textFill>
              </w:rPr>
            </w:pPr>
          </w:p>
        </w:tc>
        <w:tc>
          <w:tcPr>
            <w:tcW w:w="378" w:type="pct"/>
            <w:vAlign w:val="center"/>
          </w:tcPr>
          <w:p w14:paraId="658A11DA">
            <w:pPr>
              <w:spacing w:line="360" w:lineRule="auto"/>
              <w:jc w:val="center"/>
              <w:rPr>
                <w:color w:val="000000" w:themeColor="text1"/>
                <w:sz w:val="24"/>
                <w14:textFill>
                  <w14:solidFill>
                    <w14:schemeClr w14:val="tx1"/>
                  </w14:solidFill>
                </w14:textFill>
              </w:rPr>
            </w:pPr>
          </w:p>
        </w:tc>
        <w:tc>
          <w:tcPr>
            <w:tcW w:w="287" w:type="pct"/>
            <w:vAlign w:val="center"/>
          </w:tcPr>
          <w:p w14:paraId="7BF587DC">
            <w:pPr>
              <w:spacing w:line="360" w:lineRule="auto"/>
              <w:jc w:val="center"/>
              <w:rPr>
                <w:color w:val="000000" w:themeColor="text1"/>
                <w:sz w:val="24"/>
                <w14:textFill>
                  <w14:solidFill>
                    <w14:schemeClr w14:val="tx1"/>
                  </w14:solidFill>
                </w14:textFill>
              </w:rPr>
            </w:pPr>
          </w:p>
        </w:tc>
        <w:tc>
          <w:tcPr>
            <w:tcW w:w="427" w:type="pct"/>
            <w:vAlign w:val="center"/>
          </w:tcPr>
          <w:p w14:paraId="075E77BE">
            <w:pPr>
              <w:spacing w:line="360" w:lineRule="auto"/>
              <w:jc w:val="center"/>
              <w:rPr>
                <w:color w:val="000000" w:themeColor="text1"/>
                <w:sz w:val="24"/>
                <w14:textFill>
                  <w14:solidFill>
                    <w14:schemeClr w14:val="tx1"/>
                  </w14:solidFill>
                </w14:textFill>
              </w:rPr>
            </w:pPr>
          </w:p>
        </w:tc>
        <w:tc>
          <w:tcPr>
            <w:tcW w:w="508" w:type="pct"/>
            <w:vAlign w:val="center"/>
          </w:tcPr>
          <w:p w14:paraId="6900B3D0">
            <w:pPr>
              <w:spacing w:line="360" w:lineRule="auto"/>
              <w:jc w:val="center"/>
              <w:rPr>
                <w:color w:val="000000" w:themeColor="text1"/>
                <w:sz w:val="24"/>
                <w14:textFill>
                  <w14:solidFill>
                    <w14:schemeClr w14:val="tx1"/>
                  </w14:solidFill>
                </w14:textFill>
              </w:rPr>
            </w:pPr>
          </w:p>
        </w:tc>
        <w:tc>
          <w:tcPr>
            <w:tcW w:w="329" w:type="pct"/>
            <w:vAlign w:val="center"/>
          </w:tcPr>
          <w:p w14:paraId="6E015985">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w:t>
            </w:r>
          </w:p>
        </w:tc>
        <w:tc>
          <w:tcPr>
            <w:tcW w:w="582" w:type="pct"/>
            <w:vAlign w:val="center"/>
          </w:tcPr>
          <w:p w14:paraId="4B01CBFF">
            <w:pPr>
              <w:spacing w:line="360" w:lineRule="auto"/>
              <w:jc w:val="center"/>
              <w:rPr>
                <w:color w:val="000000" w:themeColor="text1"/>
                <w:sz w:val="24"/>
                <w14:textFill>
                  <w14:solidFill>
                    <w14:schemeClr w14:val="tx1"/>
                  </w14:solidFill>
                </w14:textFill>
              </w:rPr>
            </w:pPr>
          </w:p>
        </w:tc>
        <w:tc>
          <w:tcPr>
            <w:tcW w:w="492" w:type="pct"/>
            <w:vAlign w:val="center"/>
          </w:tcPr>
          <w:p w14:paraId="2C7C4C2D">
            <w:pPr>
              <w:spacing w:line="360" w:lineRule="auto"/>
              <w:jc w:val="center"/>
              <w:rPr>
                <w:color w:val="000000" w:themeColor="text1"/>
                <w:sz w:val="24"/>
                <w14:textFill>
                  <w14:solidFill>
                    <w14:schemeClr w14:val="tx1"/>
                  </w14:solidFill>
                </w14:textFill>
              </w:rPr>
            </w:pPr>
          </w:p>
        </w:tc>
        <w:tc>
          <w:tcPr>
            <w:tcW w:w="972" w:type="pct"/>
            <w:vAlign w:val="center"/>
          </w:tcPr>
          <w:p w14:paraId="2B579581">
            <w:pPr>
              <w:spacing w:line="360" w:lineRule="auto"/>
              <w:jc w:val="center"/>
              <w:rPr>
                <w:color w:val="000000" w:themeColor="text1"/>
                <w:sz w:val="24"/>
                <w14:textFill>
                  <w14:solidFill>
                    <w14:schemeClr w14:val="tx1"/>
                  </w14:solidFill>
                </w14:textFill>
              </w:rPr>
            </w:pPr>
          </w:p>
        </w:tc>
      </w:tr>
      <w:tr w14:paraId="354E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360" w:hRule="atLeast"/>
          <w:jc w:val="center"/>
        </w:trPr>
        <w:tc>
          <w:tcPr>
            <w:tcW w:w="648" w:type="pct"/>
            <w:vAlign w:val="center"/>
          </w:tcPr>
          <w:p w14:paraId="3D48D358">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题 目</w:t>
            </w:r>
          </w:p>
          <w:p w14:paraId="40934344">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类 型</w:t>
            </w:r>
          </w:p>
        </w:tc>
        <w:tc>
          <w:tcPr>
            <w:tcW w:w="378" w:type="pct"/>
            <w:vAlign w:val="center"/>
          </w:tcPr>
          <w:p w14:paraId="4988A45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理论</w:t>
            </w:r>
          </w:p>
          <w:p w14:paraId="2E650157">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研究</w:t>
            </w:r>
          </w:p>
        </w:tc>
        <w:tc>
          <w:tcPr>
            <w:tcW w:w="378" w:type="pct"/>
            <w:vAlign w:val="center"/>
          </w:tcPr>
          <w:p w14:paraId="776E4712">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应用</w:t>
            </w:r>
          </w:p>
          <w:p w14:paraId="69F96EBD">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研究</w:t>
            </w:r>
          </w:p>
        </w:tc>
        <w:tc>
          <w:tcPr>
            <w:tcW w:w="287" w:type="pct"/>
            <w:vAlign w:val="center"/>
          </w:tcPr>
          <w:p w14:paraId="27B02C29">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工程</w:t>
            </w:r>
          </w:p>
          <w:p w14:paraId="27D346EB">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技术</w:t>
            </w:r>
          </w:p>
        </w:tc>
        <w:tc>
          <w:tcPr>
            <w:tcW w:w="427" w:type="pct"/>
            <w:vAlign w:val="center"/>
          </w:tcPr>
          <w:p w14:paraId="2E7705E1">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跨学科</w:t>
            </w:r>
          </w:p>
          <w:p w14:paraId="17415C84">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研 究</w:t>
            </w:r>
          </w:p>
        </w:tc>
        <w:tc>
          <w:tcPr>
            <w:tcW w:w="508" w:type="pct"/>
            <w:vAlign w:val="center"/>
          </w:tcPr>
          <w:p w14:paraId="3131F374">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其他</w:t>
            </w:r>
          </w:p>
        </w:tc>
        <w:tc>
          <w:tcPr>
            <w:tcW w:w="2374" w:type="pct"/>
            <w:gridSpan w:val="4"/>
            <w:vAlign w:val="center"/>
          </w:tcPr>
          <w:p w14:paraId="2BA590F2">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应用研究</w:t>
            </w:r>
          </w:p>
        </w:tc>
      </w:tr>
      <w:tr w14:paraId="1506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6" w:type="dxa"/>
            <w:bottom w:w="0" w:type="dxa"/>
            <w:right w:w="56" w:type="dxa"/>
          </w:tblCellMar>
        </w:tblPrEx>
        <w:trPr>
          <w:trHeight w:val="6559" w:hRule="atLeast"/>
          <w:jc w:val="center"/>
        </w:trPr>
        <w:tc>
          <w:tcPr>
            <w:tcW w:w="5000" w:type="pct"/>
            <w:gridSpan w:val="10"/>
          </w:tcPr>
          <w:p w14:paraId="16126CBF">
            <w:pPr>
              <w:spacing w:line="360" w:lineRule="auto"/>
              <w:ind w:firstLine="228" w:firstLineChars="100"/>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开题报告内容（具体要求见《东南大学研究生论文选题和开题报告的原则和要求》）</w:t>
            </w:r>
          </w:p>
          <w:p w14:paraId="628AD2A9">
            <w:pPr>
              <w:numPr>
                <w:ilvl w:val="0"/>
                <w:numId w:val="2"/>
              </w:numPr>
              <w:spacing w:line="360" w:lineRule="auto"/>
              <w:ind w:firstLine="228" w:firstLineChars="100"/>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选题依据与工程应用价值</w:t>
            </w:r>
          </w:p>
          <w:p w14:paraId="70F4E660">
            <w:pPr>
              <w:spacing w:line="360" w:lineRule="auto"/>
              <w:ind w:firstLine="456" w:firstLineChars="200"/>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虚拟现实（Virtual Reality, VR）和增强现实（Augmented Reality, AR）技术正以前所未有的速度渗透到日常生活的各个层面。</w:t>
            </w:r>
            <w:r>
              <w:rPr>
                <w:rFonts w:hint="eastAsia"/>
                <w:color w:val="000000" w:themeColor="text1"/>
                <w:kern w:val="0"/>
                <w:sz w:val="24"/>
                <w:lang w:bidi="ar"/>
                <w14:textFill>
                  <w14:solidFill>
                    <w14:schemeClr w14:val="tx1"/>
                  </w14:solidFill>
                </w14:textFill>
              </w:rPr>
              <w:t>沉浸式设</w:t>
            </w:r>
            <w:r>
              <w:rPr>
                <w:color w:val="000000" w:themeColor="text1"/>
                <w:kern w:val="0"/>
                <w:sz w:val="24"/>
                <w:lang w:bidi="ar"/>
                <w14:textFill>
                  <w14:solidFill>
                    <w14:schemeClr w14:val="tx1"/>
                  </w14:solidFill>
                </w14:textFill>
              </w:rPr>
              <w:t>备的快速发展促进了一系列广泛的AR/VR应用，包括沉浸式多人游戏[1]、虚拟购物[2]和银行[3]。</w:t>
            </w:r>
            <w:r>
              <w:rPr>
                <w:color w:val="000000" w:themeColor="text1"/>
                <w:spacing w:val="-6"/>
                <w:sz w:val="24"/>
                <w14:textFill>
                  <w14:solidFill>
                    <w14:schemeClr w14:val="tx1"/>
                  </w14:solidFill>
                </w14:textFill>
              </w:rPr>
              <w:t>而头戴式显示器（Head-Mounted Display, HMD）已成为人机交互的重要载体。据市场研究报告显示，HMD在2026年占据VR设备约66%的市场份额，Meta Quest系列、PICO、Apple Vision Pro等产品的快速迭代进一步推动了消费级VR设备的普及。随着头戴式显示器的普及，用户在沉浸式空间中完成账户登录、资源访问、支付授权和多人协作的需求显著增加，设备存储和处理的用户隐私数据量急剧增长，涵盖生物特征信息、行为轨迹数据、社交通信记录、支付凭证等敏感内容，</w:t>
            </w:r>
            <w:r>
              <w:rPr>
                <w:color w:val="000000" w:themeColor="text1"/>
                <w:sz w:val="24"/>
                <w14:textFill>
                  <w14:solidFill>
                    <w14:schemeClr w14:val="tx1"/>
                  </w14:solidFill>
                </w14:textFill>
              </w:rPr>
              <w:t>这些涉及个人隐私与核心资产的操作，客观上要求VR系统必须具备高可靠性、高安全性的用户身份鉴权机制。因此，身份认证成为</w:t>
            </w:r>
            <w:r>
              <w:rPr>
                <w:color w:val="000000" w:themeColor="text1"/>
                <w:spacing w:val="-6"/>
                <w:sz w:val="24"/>
                <w14:textFill>
                  <w14:solidFill>
                    <w14:schemeClr w14:val="tx1"/>
                  </w14:solidFill>
                </w14:textFill>
              </w:rPr>
              <w:t>VR生态系统中亟待解决的核心安全问题。</w:t>
            </w:r>
          </w:p>
          <w:p w14:paraId="1C1F5673">
            <w:pPr>
              <w:spacing w:line="360" w:lineRule="auto"/>
              <w:ind w:firstLine="456" w:firstLineChars="200"/>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Giaretta的综述中系统梳理了VR安全与隐私领域的研究现状[13]，将VR安全威胁划分为数据隐私泄露、身份伪造、侧信道攻击等多个维度，并明确指出身份认证是VR安全研究中最活跃、最具工程价值的方向。该综述覆盖了近十年来的相关文献，揭示了一个关键趋势——传统的知识型认证方案（如PIN（Personal Identification Number）码、手势密码、文本密码）在VR场景下面临前所未有的挑战。其不仅严重破坏了VR引以为傲的沉浸感体验，而且无法防范会话劫持风险，难以在长周期的虚拟交互中实现连续、无感的身份认证。</w:t>
            </w:r>
          </w:p>
          <w:p w14:paraId="2F70B864">
            <w:pPr>
              <w:spacing w:line="360" w:lineRule="auto"/>
              <w:ind w:firstLine="480" w:firstLineChars="200"/>
              <w:rPr>
                <w:color w:val="000000" w:themeColor="text1"/>
                <w:spacing w:val="-6"/>
                <w:sz w:val="24"/>
                <w14:textFill>
                  <w14:solidFill>
                    <w14:schemeClr w14:val="tx1"/>
                  </w14:solidFill>
                </w14:textFill>
              </w:rPr>
            </w:pPr>
            <w:r>
              <w:rPr>
                <w:color w:val="000000" w:themeColor="text1"/>
                <w:sz w:val="24"/>
                <w14:textFill>
                  <w14:solidFill>
                    <w14:schemeClr w14:val="tx1"/>
                  </w14:solidFill>
                </w14:textFill>
              </w:rPr>
              <w:t>这种风险促使研究者开始寻找更符合 VR 本机特性的身份认证载体，语音因其低物理与认知负担，正成为VR中最自然的主交互通道[4]。语音交互凭借其解放双手、自然直观的特性，逐渐成为了VR中最具潜力的连续认证模态。但是，现有的基于传统声学特征的语音交互认证在VR复杂的应用场景中暴露出显著的鲁棒性不足。环境噪声的干扰、协同发音效应带来的特征失真，以及面对重放攻击和深度伪造等音频欺骗手段的脆弱，使得现有系统难以胜任高强度的安全需求。更严峻的是，随着语音大模型的蓬勃发展，语音合成与语音转换技术的飞速发展，现有的基于声学特征的认证系统极易遭受重放与欺骗攻击，导致严重的隐私泄露。</w:t>
            </w:r>
          </w:p>
          <w:p w14:paraId="5BC95451">
            <w:pPr>
              <w:widowControl/>
              <w:spacing w:line="360" w:lineRule="auto"/>
              <w:ind w:firstLine="480" w:firstLineChars="200"/>
              <w:jc w:val="left"/>
              <w:rPr>
                <w:rFonts w:ascii="Helvetica" w:hAnsi="Helvetica" w:cs="Helvetica"/>
                <w:kern w:val="0"/>
                <w:sz w:val="24"/>
              </w:rPr>
            </w:pPr>
            <w:r>
              <w:rPr>
                <w:color w:val="000000" w:themeColor="text1"/>
                <w:kern w:val="0"/>
                <w:sz w:val="24"/>
                <w:lang w:bidi="ar"/>
                <w14:textFill>
                  <w14:solidFill>
                    <w14:schemeClr w14:val="tx1"/>
                  </w14:solidFill>
                </w14:textFill>
              </w:rPr>
              <w:t>为了应对上述安全挑战，研究人员开始探索利用VR设备上集成的其他传感器进行</w:t>
            </w:r>
            <w:r>
              <w:rPr>
                <w:rFonts w:hint="eastAsia"/>
                <w:color w:val="000000" w:themeColor="text1"/>
                <w:kern w:val="0"/>
                <w:sz w:val="24"/>
                <w:lang w:bidi="ar"/>
                <w14:textFill>
                  <w14:solidFill>
                    <w14:schemeClr w14:val="tx1"/>
                  </w14:solidFill>
                </w14:textFill>
              </w:rPr>
              <w:t>语音交互</w:t>
            </w:r>
            <w:r>
              <w:rPr>
                <w:color w:val="000000" w:themeColor="text1"/>
                <w:kern w:val="0"/>
                <w:sz w:val="24"/>
                <w:lang w:bidi="ar"/>
                <w14:textFill>
                  <w14:solidFill>
                    <w14:schemeClr w14:val="tx1"/>
                  </w14:solidFill>
                </w14:textFill>
              </w:rPr>
              <w:t>身份认证。值得注意的是，麦克风等传感器通常需要用户明确授予权限，而加速度计等惯性测量单元（Inertial Measurement Unit, IMU）通常被视为</w:t>
            </w:r>
            <w:r>
              <w:rPr>
                <w:rFonts w:hint="eastAsia"/>
                <w:color w:val="000000" w:themeColor="text1"/>
                <w:kern w:val="0"/>
                <w:sz w:val="24"/>
                <w:lang w:bidi="ar"/>
                <w14:textFill>
                  <w14:solidFill>
                    <w14:schemeClr w14:val="tx1"/>
                  </w14:solidFill>
                </w14:textFill>
              </w:rPr>
              <w:t>“</w:t>
            </w:r>
            <w:r>
              <w:rPr>
                <w:color w:val="000000" w:themeColor="text1"/>
                <w:kern w:val="0"/>
                <w:sz w:val="24"/>
                <w:lang w:bidi="ar"/>
                <w14:textFill>
                  <w14:solidFill>
                    <w14:schemeClr w14:val="tx1"/>
                  </w14:solidFill>
                </w14:textFill>
              </w:rPr>
              <w:t>零权限</w:t>
            </w:r>
            <w:r>
              <w:rPr>
                <w:rFonts w:hint="eastAsia"/>
                <w:color w:val="000000" w:themeColor="text1"/>
                <w:kern w:val="0"/>
                <w:sz w:val="24"/>
                <w:lang w:bidi="ar"/>
                <w14:textFill>
                  <w14:solidFill>
                    <w14:schemeClr w14:val="tx1"/>
                  </w14:solidFill>
                </w14:textFill>
              </w:rPr>
              <w:t>”</w:t>
            </w:r>
            <w:r>
              <w:rPr>
                <w:color w:val="000000" w:themeColor="text1"/>
                <w:kern w:val="0"/>
                <w:sz w:val="24"/>
                <w:lang w:bidi="ar"/>
                <w14:textFill>
                  <w14:solidFill>
                    <w14:schemeClr w14:val="tx1"/>
                  </w14:solidFill>
                </w14:textFill>
              </w:rPr>
              <w:t>传感器，访问通常不需要用户许可[28]，因为几乎所有VR应用都需要使用它们来追踪头部运动，因此默认即可访问。这一特性为隐式、低摩擦的用户认证带来了机遇，其中可能包含了能够获得用户身份特征的信息。当用户在VR环境中</w:t>
            </w:r>
            <w:r>
              <w:rPr>
                <w:rFonts w:hint="eastAsia"/>
                <w:color w:val="000000" w:themeColor="text1"/>
                <w:kern w:val="0"/>
                <w:sz w:val="24"/>
                <w:lang w:bidi="ar"/>
                <w14:textFill>
                  <w14:solidFill>
                    <w14:schemeClr w14:val="tx1"/>
                  </w14:solidFill>
                </w14:textFill>
              </w:rPr>
              <w:t>发声</w:t>
            </w:r>
            <w:r>
              <w:rPr>
                <w:color w:val="000000" w:themeColor="text1"/>
                <w:kern w:val="0"/>
                <w:sz w:val="24"/>
                <w:lang w:bidi="ar"/>
                <w14:textFill>
                  <w14:solidFill>
                    <w14:schemeClr w14:val="tx1"/>
                  </w14:solidFill>
                </w14:textFill>
              </w:rPr>
              <w:t>时，</w:t>
            </w:r>
            <w:r>
              <w:rPr>
                <w:rFonts w:hint="eastAsia"/>
                <w:color w:val="000000" w:themeColor="text1"/>
                <w:kern w:val="0"/>
                <w:sz w:val="24"/>
                <w:lang w:bidi="ar"/>
                <w14:textFill>
                  <w14:solidFill>
                    <w14:schemeClr w14:val="tx1"/>
                  </w14:solidFill>
                </w14:textFill>
              </w:rPr>
              <w:t>声</w:t>
            </w:r>
            <w:r>
              <w:rPr>
                <w:color w:val="000000" w:themeColor="text1"/>
                <w:kern w:val="0"/>
                <w:sz w:val="24"/>
                <w:lang w:bidi="ar"/>
                <w14:textFill>
                  <w14:solidFill>
                    <w14:schemeClr w14:val="tx1"/>
                  </w14:solidFill>
                </w14:textFill>
              </w:rPr>
              <w:t>带的振动会通过头部</w:t>
            </w:r>
            <w:r>
              <w:rPr>
                <w:rFonts w:hint="eastAsia"/>
                <w:color w:val="000000" w:themeColor="text1"/>
                <w:kern w:val="0"/>
                <w:sz w:val="24"/>
                <w:lang w:bidi="ar"/>
                <w14:textFill>
                  <w14:solidFill>
                    <w14:schemeClr w14:val="tx1"/>
                  </w14:solidFill>
                </w14:textFill>
              </w:rPr>
              <w:t>骨骼与软组织</w:t>
            </w:r>
            <w:r>
              <w:rPr>
                <w:color w:val="000000" w:themeColor="text1"/>
                <w:kern w:val="0"/>
                <w:sz w:val="24"/>
                <w:lang w:bidi="ar"/>
                <w14:textFill>
                  <w14:solidFill>
                    <w14:schemeClr w14:val="tx1"/>
                  </w14:solidFill>
                </w14:textFill>
              </w:rPr>
              <w:t>路径传递，被VR头显内置的ACC传感器所感知[35]</w:t>
            </w:r>
            <w:r>
              <w:rPr>
                <w:rFonts w:hint="eastAsia"/>
                <w:color w:val="000000" w:themeColor="text1"/>
                <w:kern w:val="0"/>
                <w:sz w:val="24"/>
                <w:lang w:bidi="ar"/>
                <w14:textFill>
                  <w14:solidFill>
                    <w14:schemeClr w14:val="tx1"/>
                  </w14:solidFill>
                </w14:textFill>
              </w:rPr>
              <w:t>。</w:t>
            </w:r>
            <w:r>
              <w:rPr>
                <w:color w:val="000000" w:themeColor="text1"/>
                <w:kern w:val="0"/>
                <w:sz w:val="24"/>
                <w:lang w:bidi="ar"/>
                <w14:textFill>
                  <w14:solidFill>
                    <w14:schemeClr w14:val="tx1"/>
                  </w14:solidFill>
                </w14:textFill>
              </w:rPr>
              <w:t>但</w:t>
            </w:r>
            <w:r>
              <w:rPr>
                <w:kern w:val="0"/>
                <w:sz w:val="24"/>
              </w:rPr>
              <w:t>不同用户之间的生物特征差异相对有限，仅凭IMU信号难以达到高精度的身份区分。</w:t>
            </w:r>
            <w:r>
              <w:rPr>
                <w:rFonts w:hint="eastAsia"/>
                <w:kern w:val="0"/>
                <w:sz w:val="24"/>
              </w:rPr>
              <w:t>且</w:t>
            </w:r>
            <w:r>
              <w:rPr>
                <w:kern w:val="0"/>
                <w:sz w:val="24"/>
              </w:rPr>
              <w:t>IMU信号易受设备佩戴方式、头部运动幅度以及环境振动等因素干扰，导致信号信噪比较低，特征提取难度</w:t>
            </w:r>
            <w:r>
              <w:rPr>
                <w:rFonts w:ascii="Helvetica" w:hAnsi="Helvetica" w:cs="Helvetica"/>
                <w:kern w:val="0"/>
                <w:sz w:val="24"/>
              </w:rPr>
              <w:t>大</w:t>
            </w:r>
            <w:r>
              <w:rPr>
                <w:kern w:val="0"/>
                <w:sz w:val="24"/>
              </w:rPr>
              <w:t>[19,21]</w:t>
            </w:r>
            <w:r>
              <w:rPr>
                <w:rFonts w:ascii="Helvetica" w:hAnsi="Helvetica" w:cs="Helvetica"/>
                <w:kern w:val="0"/>
                <w:sz w:val="24"/>
              </w:rPr>
              <w:t>。如何融合</w:t>
            </w:r>
            <w:r>
              <w:rPr>
                <w:rFonts w:hint="eastAsia" w:ascii="Helvetica" w:hAnsi="Helvetica" w:cs="Helvetica"/>
                <w:kern w:val="0"/>
                <w:sz w:val="24"/>
              </w:rPr>
              <w:t>跨</w:t>
            </w:r>
            <w:r>
              <w:rPr>
                <w:rFonts w:ascii="Helvetica" w:hAnsi="Helvetica" w:cs="Helvetica"/>
                <w:kern w:val="0"/>
                <w:sz w:val="24"/>
              </w:rPr>
              <w:t>模态传感器信息，利用不同</w:t>
            </w:r>
            <w:r>
              <w:rPr>
                <w:rFonts w:hint="eastAsia" w:ascii="Helvetica" w:hAnsi="Helvetica" w:cs="Helvetica"/>
                <w:kern w:val="0"/>
                <w:sz w:val="24"/>
              </w:rPr>
              <w:t>生物</w:t>
            </w:r>
            <w:r>
              <w:rPr>
                <w:rFonts w:ascii="Helvetica" w:hAnsi="Helvetica" w:cs="Helvetica"/>
                <w:kern w:val="0"/>
                <w:sz w:val="24"/>
              </w:rPr>
              <w:t>特征之间的内在关联特性构建更安全、更鲁棒的</w:t>
            </w:r>
            <w:r>
              <w:rPr>
                <w:rFonts w:hint="eastAsia" w:ascii="Helvetica" w:hAnsi="Helvetica" w:cs="Helvetica"/>
                <w:kern w:val="0"/>
                <w:sz w:val="24"/>
              </w:rPr>
              <w:t>语音交互身</w:t>
            </w:r>
            <w:r>
              <w:rPr>
                <w:rFonts w:ascii="Helvetica" w:hAnsi="Helvetica" w:cs="Helvetica"/>
                <w:kern w:val="0"/>
                <w:sz w:val="24"/>
              </w:rPr>
              <w:t>份认证方案，成为亟待解决的</w:t>
            </w:r>
            <w:r>
              <w:rPr>
                <w:rFonts w:hint="eastAsia" w:ascii="Helvetica" w:hAnsi="Helvetica" w:cs="Helvetica"/>
                <w:kern w:val="0"/>
                <w:sz w:val="24"/>
              </w:rPr>
              <w:t>科学与工程</w:t>
            </w:r>
            <w:r>
              <w:rPr>
                <w:rFonts w:ascii="Helvetica" w:hAnsi="Helvetica" w:cs="Helvetica"/>
                <w:kern w:val="0"/>
                <w:sz w:val="24"/>
              </w:rPr>
              <w:t>问题。</w:t>
            </w:r>
          </w:p>
          <w:p w14:paraId="4E2E0836">
            <w:pPr>
              <w:widowControl/>
              <w:spacing w:line="360" w:lineRule="auto"/>
              <w:ind w:firstLine="42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因此，本文提出了一种基于跨模态转化的身份认证方法。通过采集VR/AR场景下用户使用头戴式设备发声时的加速度（Accelerometer，ACC）信号和语音（Audio）信号，对语音与加速度骨传导信号进行相互转化，借助这种转换关系中得到的生物特征信息，实现对AR/VR设备用户的身份认证，并基于小样本和多用户的泛化能力提出创新性的解决方案。</w:t>
            </w:r>
          </w:p>
          <w:p w14:paraId="1C77AC38">
            <w:pPr>
              <w:widowControl/>
              <w:spacing w:line="360" w:lineRule="auto"/>
              <w:ind w:firstLine="42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本方案在工程应用方面具有优良的价值。它完全依托主流VR设备原有的加速度计与麦克风实现零硬件成本部署，能够在各类VR社交或游戏场景中，利用用户自然发声时产生的ACC与Audio信号提供透明、无感的持续身份认证；同时，借助人体传导信号天然免疫声音欺骗的特性与严苛的跨模态一致性验证，构建了多层次抗</w:t>
            </w:r>
            <w:r>
              <w:rPr>
                <w:rFonts w:hint="eastAsia"/>
                <w:color w:val="000000" w:themeColor="text1"/>
                <w:sz w:val="24"/>
                <w14:textFill>
                  <w14:solidFill>
                    <w14:schemeClr w14:val="tx1"/>
                  </w14:solidFill>
                </w14:textFill>
              </w:rPr>
              <w:t>欺骗</w:t>
            </w:r>
            <w:r>
              <w:rPr>
                <w:color w:val="000000" w:themeColor="text1"/>
                <w:sz w:val="24"/>
                <w14:textFill>
                  <w14:solidFill>
                    <w14:schemeClr w14:val="tx1"/>
                  </w14:solidFill>
                </w14:textFill>
              </w:rPr>
              <w:t>安全屏障，并在面临复杂的头部运动及佩戴差异等真实使用条件时，展现出较高的鲁棒性与跨场景适应能力。</w:t>
            </w:r>
          </w:p>
          <w:p w14:paraId="4498F5B4">
            <w:pPr>
              <w:widowControl/>
              <w:spacing w:line="360" w:lineRule="auto"/>
              <w:ind w:firstLine="420"/>
              <w:jc w:val="left"/>
              <w:rPr>
                <w:color w:val="000000" w:themeColor="text1"/>
                <w:kern w:val="0"/>
                <w:sz w:val="24"/>
                <w:lang w:bidi="ar"/>
                <w14:textFill>
                  <w14:solidFill>
                    <w14:schemeClr w14:val="tx1"/>
                  </w14:solidFill>
                </w14:textFill>
              </w:rPr>
            </w:pPr>
          </w:p>
          <w:p w14:paraId="1814AEFE">
            <w:pPr>
              <w:numPr>
                <w:ilvl w:val="0"/>
                <w:numId w:val="3"/>
              </w:numPr>
              <w:spacing w:line="360" w:lineRule="auto"/>
              <w:rPr>
                <w:color w:val="000000" w:themeColor="text1"/>
                <w:sz w:val="24"/>
                <w14:textFill>
                  <w14:solidFill>
                    <w14:schemeClr w14:val="tx1"/>
                  </w14:solidFill>
                </w14:textFill>
              </w:rPr>
            </w:pPr>
            <w:r>
              <w:rPr>
                <w:color w:val="000000" w:themeColor="text1"/>
                <w:spacing w:val="-6"/>
                <w:sz w:val="24"/>
                <w14:textFill>
                  <w14:solidFill>
                    <w14:schemeClr w14:val="tx1"/>
                  </w14:solidFill>
                </w14:textFill>
              </w:rPr>
              <w:t>国内外研究现状与发展动态</w:t>
            </w:r>
          </w:p>
          <w:p w14:paraId="11E11DF1">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VR的身份认证方案已经引起国内外学者的关注。本节对相关领域进行了调研，并对调研结果进行了归纳分析，主要围绕VR/AR场景下的传统知识类、行为类、生理信号类以及语音交互。</w:t>
            </w:r>
          </w:p>
          <w:p w14:paraId="0C384EB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2.1 传统知识类身份认证</w:t>
            </w:r>
          </w:p>
          <w:p w14:paraId="6333FDC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知识型认证以“用户所知”为认证因素，主要包括PIN码、文本密码、图形解锁和手势密码等形式。这类方案在桌面和移动端已有成熟的理论体系与工程实践，但VR/AR头戴设备的物理形态和交互范式从根本上改变了密码输入的方式，使其面临独特的可用性与安全性挑战。</w:t>
            </w:r>
          </w:p>
          <w:p w14:paraId="4B80779A">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2.1.1密码与PIN</w:t>
            </w:r>
          </w:p>
          <w:p w14:paraId="33B728D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HMD遮挡了用户的视线，使得用户无法使用物理键盘，只能依赖虚拟键盘、手柄指向或手势追踪进行输入。Yu等首次系统探索了VR系统中可用认证机制的设计空间[8]，发现虚拟环境中的密码输入速度和准确性均显著低于传统平台。George等评估了将传统认证方案（PIN码、图形密码、滑动解锁）适配到VR环境中的可行性[9]，发现所有方案在VR中的可用性均出现不同程度的下降，且用户在VR沉浸状态下对认证过程的耐受度更低。</w:t>
            </w:r>
          </w:p>
          <w:p w14:paraId="14A7435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Mathis等比较了VR中多种知识型认证方案的可用性与安全性[10]，包括基于手柄的PIN输入、基于凝视的PIN输入和基于手势的图形密码，发现所有方案在可用性和安全性之间存在难以调和的矛盾。Riyadh等进一步验证了这一困境[11]，通过大规模用户实验系统评估了PIN码和手势密码在VR中的可用性，发现即使经过优化的交互设计，知识型认证在VR中的用户体验仍然远低于传统平台。Mathis等提出的CueVR方案[12]利用视觉提示引导用户在虚拟空间中的不同位置输入密码的不同部分，试图在VR内部抵御虚拟观察者的窥探，但增加了认证过程的复杂度和时间开销。</w:t>
            </w:r>
          </w:p>
          <w:p w14:paraId="2C98EF6E">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2.1.2 肩窥攻击与传感器侧信道攻击</w:t>
            </w:r>
          </w:p>
          <w:p w14:paraId="0CD2B3D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VR/AR场景下知识型认证面临的核心安全威胁是肩窥攻击。Giaretta的综述系统总结了VR场景下知识型认证的局限性[13]，指出头戴设备遮挡用户视线使得肩窥攻击更加隐蔽，用户在VR沉浸状态下对周围环境的感知能力显著下降，攻击者可以在用户毫无察觉的情况下观察其认证动作。Li等的工作中也明确指出，知识型认证方案在头戴设备场景下特别容易受到肩窥攻击[14]。</w:t>
            </w:r>
          </w:p>
          <w:p w14:paraId="42E333F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更为严峻的是，VR/AR设备自身的传感器构成了强大的侧信道攻击面。Wu等揭示了VR运动传感器可被用于窃取虚拟键盘输入[15]——攻击者无需视觉观察，仅通过分析VR设备的运动传感器数据即可推断用户的输入内容。Nair等系统分析了元宇宙环境中的隐私风险[16]，指出VR设备的多传感器数据（运动、眼动、语音等）构成了一个前所未有的侧信道攻击面。Zhang等的工作揭示了AR/VR系统面临的侧信道攻击威胁[17]。</w:t>
            </w:r>
          </w:p>
          <w:p w14:paraId="2C731037">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2.1.3 小结</w:t>
            </w:r>
          </w:p>
          <w:p w14:paraId="6FCFE62D">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综上所述，知识型认证在VR/AR场景下存在局限性。其输入效率低、打断沉浸体验导致可用性差，肩窥攻击和传感器侧信道泄露降低了安全性，无法支持VR特性下的长时间VR会话的持续认证。</w:t>
            </w:r>
          </w:p>
          <w:p w14:paraId="34CBE5F1">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2.2 VR/AR场景下的行为生物特征认证</w:t>
            </w:r>
          </w:p>
          <w:p w14:paraId="1472DBA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行为生物特征认证以“用户所做”为认证因素，利用用户在自然交互过程中产生的运动模式进行身份识别。VR/AR头戴设备内置的IMU和眼动追踪器为行为认证提供了天然的数据来源，主要包括头部运动模式、手部运动轨迹和眼动特征三大类别。</w:t>
            </w:r>
          </w:p>
          <w:p w14:paraId="3AADFA8D">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2.2.1 头部与手部运动</w:t>
            </w:r>
          </w:p>
          <w:p w14:paraId="0811BBD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VR头戴设备内置的IMU可以高精度地捕获用户的头部六自由度运动数据（位置、朝向、角速度、加速度），手柄或手势追踪系统则提供手部运动轨迹。这些运动数据蕴含了个体特有的运动习惯和肌肉控制模式。</w:t>
            </w:r>
          </w:p>
          <w:p w14:paraId="0B0AA67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Pfeuffer等首次系统研究了VR中基于行为生物特征的用户识别[18]，利用头部和手部运动数据在VR任务（指向、抓取、投掷）中识别用户身份，在20名被试中取得了超过90%的识别准确率，揭示了VR运动数据中蕴含的丰富身份信息。Kupin等利用VR射击游戏中的运动数据进行用户识别[19]，在41名被试中取得了EER（Equal Error Rate, 等错误率）约5%的认证性能。Nair等将VR行为认证的被试规模提升至前所未有的50,000人以上</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该工作利用Beat Saber游戏中收集的头部和手部运动数据，通过深度学习模型在仅100秒的运动数据中实现了94.33%的用户识别准确率[41]。Liebers等系统分析了体型标准化对VR行为认证的影响[20]，发现消除身体尺寸差异后纯行为模式仍能有效区分用户身份。Miller等利用Siamese神经网络实现VR中的跨系统行为认证[21]，展示了在不同VR应用之间迁移认证模型的可行性。</w:t>
            </w:r>
          </w:p>
          <w:p w14:paraId="79806239">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2.2.2 眼动与凝视认证</w:t>
            </w:r>
          </w:p>
          <w:p w14:paraId="6F837D6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随着眼动追踪技术在消费级VR/AR头戴设备中的普及，基于眼动特征的身份认证成为近年来的研究热点。</w:t>
            </w:r>
          </w:p>
          <w:p w14:paraId="5C7FD72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Lohr等率先利用VR设备中的眼动数据进行用户认证[22]，通过分析注视点分布和扫视速度等特征实现身份识别。Sluganovic等提出了基于眼动追踪的隐式认证方案[23]，利用用户观看视觉刺激时的眼动模式进行身份验证，在30名被试中取得了EER约6.3%。Lohr等提出了基于深度学习的端到端眼动生物特征识别方案[24]，利用CNN（Convolutional Neural Network, 卷积神经网络）从眼动轨迹中提取个体特有的注视模式、扫视特征和微眼动特征，取得了EER约3%的认证性能。Katsini等的综述[25]系统梳理了眼动在安全与隐私领域的应用，指出眼动特征具有难以伪造、采集隐蔽的优势，但也面临跨设备泛化和长期稳定性的挑战。Jeon等设计了基于双眼竞争（binocular rivalry）的新型凝视刺激，利用前注意加工机制诱发个体特有的眼动响应模式，在商用VR头戴设备上收集多日凝视数据，但也指出在VR内部仍有高达18%的登录尝试可通过肩窥被推断[26]。</w:t>
            </w:r>
          </w:p>
          <w:p w14:paraId="567F8EF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2.2.3 小结</w:t>
            </w:r>
          </w:p>
          <w:p w14:paraId="584F1D81">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尽管行为生物特征认证在VR/AR场景中展现了良好的前景，但仍存在局限性。首先，行为特征的稳定性受用户状态影响较大——疲劳、情绪变化、身体状况等因素都可能导致运动模式漂移。且一些实验基于特定的交互游戏和场景，其结论能否迁移到社交交谈、办公协作等场景尚不确定。此外，眼动认证虽然精度较高，但眼动追踪器尚未成为所有VR设备的标配，单眼动认证方案仍有被攻击的风险。</w:t>
            </w:r>
          </w:p>
          <w:p w14:paraId="29E4BB7F">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2.3 VR/AR头戴设备上的生理信号认证</w:t>
            </w:r>
          </w:p>
          <w:p w14:paraId="77406A9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生理信号认证以“用户所是”为认证因素，利用人体固有的生理特征进行身份识别。现代VR/AR头戴设备与用户面部紧密贴合，其内置的IMU传感器不仅能捕获用户的主动运动，还能感知由心脏搏动、呼吸等生理活动引起的面部微振动。</w:t>
            </w:r>
          </w:p>
          <w:p w14:paraId="0CA3C42D">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2.3.1生命体征信号</w:t>
            </w:r>
          </w:p>
          <w:p w14:paraId="6262B74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Zhang等证明了AR/VR头戴设备可以通过面部振动被动监测用户的生命体征[27]，包括心率、呼吸率等。该工作利用头戴设备内置的IMU传感器捕获由心脏搏动和呼吸运动引起的面部微振动，通过信号处理算法从中提取生命体征参数。该工作验证了VR设备IMU传感器对面部生理信号的感知能力，也揭示了这些生理信号中可能蕴含的身份信息。</w:t>
            </w:r>
          </w:p>
          <w:p w14:paraId="484619B7">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在此基础上，Zhang等利用生命体征振动谐波实现XR（Extended Reality, 扩展现实）用户的无感身份验证[28]。该工作的核心创新在于发现面部振动信号中的生命体征谐波特征（如心率的基频及其谐波分量）具有个体唯一性</w:t>
            </w:r>
            <w:r>
              <w:rPr>
                <w:rFonts w:hint="eastAsia"/>
                <w:color w:val="000000" w:themeColor="text1"/>
                <w:sz w:val="24"/>
                <w14:textFill>
                  <w14:solidFill>
                    <w14:schemeClr w14:val="tx1"/>
                  </w14:solidFill>
                </w14:textFill>
              </w:rPr>
              <w:t>，即</w:t>
            </w:r>
            <w:r>
              <w:rPr>
                <w:color w:val="000000" w:themeColor="text1"/>
                <w:sz w:val="24"/>
                <w14:textFill>
                  <w14:solidFill>
                    <w14:schemeClr w14:val="tx1"/>
                  </w14:solidFill>
                </w14:textFill>
              </w:rPr>
              <w:t>不同个体的心血管系统结构差异导致其心率谐波模式存在可区分的差异。该方案无需用户执行任何特定动作，实现了真正的无感认证。然而，生命体征信号的个体区分度相对有限，且易受运动伪影干扰，在用户进行剧烈头部运动的VR交互场景中信噪比显著下降。</w:t>
            </w:r>
          </w:p>
          <w:p w14:paraId="5E0E3240">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2.3.2 小结</w:t>
            </w:r>
          </w:p>
          <w:p w14:paraId="61AAA01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基于生理信号引起的面部振动信号，虽然实现了无感、被动的认证体验，但仍然具有一定的局限性。首先，单一生命体征信号的个体区分度有限，在大规模用户群体中的认证精度可能不足以满足高安全等级需求；其次，VR交互过程中频繁的头部运动会引入大量运动伪影，严重干扰微弱的生理振动信号。</w:t>
            </w:r>
          </w:p>
          <w:p w14:paraId="6FD55D83">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2.4 语音交互认证</w:t>
            </w:r>
          </w:p>
          <w:p w14:paraId="7A423C40">
            <w:pPr>
              <w:spacing w:line="360" w:lineRule="auto"/>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语音交互</w:t>
            </w:r>
            <w:r>
              <w:rPr>
                <w:color w:val="000000" w:themeColor="text1"/>
                <w:sz w:val="24"/>
                <w14:textFill>
                  <w14:solidFill>
                    <w14:schemeClr w14:val="tx1"/>
                  </w14:solidFill>
                </w14:textFill>
              </w:rPr>
              <w:t>认证以“用户所说”为认证因素。VR/AR生态中，语音扮演着核心交互角色。主流HMD均内置多麦克风阵列，用于语音指令、社交通话和语音助手交互。语音交互的高频使用使得语音信号成为VR场景中最易获取、最自然的持续认证数据来源。同时，用户在语音交互过程中产生丰富的传感器数据都以作为身份认证的支撑。</w:t>
            </w:r>
          </w:p>
          <w:p w14:paraId="145182C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2.4.1 传统语音交互认证</w:t>
            </w:r>
          </w:p>
          <w:p w14:paraId="2DEA5E52">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传统声纹认证（Speaker Verification）已有成熟的技术体系，从经典的GMM-UBM [29]、i-vector [30]到深度学习时代的x-vector [31]和ECAPA-TDNN [32]，在VoxCeleb[33]等大规模数据集上取得了优异性能。然而，将声纹认证直接应用于VR场景面临VR特有的多重挑战。环境噪声方面，游戏音效、多人交谈、空间音频反馈等噪声源严重影响麦克风信噪比，且VR头戴设备的麦克风位于设备前方或下方、紧贴面部的半封闭腔体内，与传统手持或桌面设备的声学条件存在显著差异，导致在通用语音数据集上训练的声纹模型在VR设备上出现域偏移。此外，深度学习驱动的语音合成（如VALL-E [34]仅需3秒参考语音即可实现高保真克隆）和语音转换技术使得伪造语音日益逼真，但纯声学域的反欺骗方法面临持续升级的对抗性攻击。因此，仅依靠传统的语音身份认证具有较大的安全隐患。</w:t>
            </w:r>
          </w:p>
          <w:p w14:paraId="0224B80D">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2.4.2跨模态语音交互</w:t>
            </w:r>
          </w:p>
          <w:p w14:paraId="073959DD">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为克服纯声学域认证的安全性不足，研究者开始探索在VR/AR头戴设备上将语音信号与其他物理传感模态相结合。国内外研究首先将目光投向了非传统声学传感器，特别是惯性测量单元IMU，因为其的零权限特性，其数据可以被轻易的</w:t>
            </w:r>
            <w:r>
              <w:rPr>
                <w:rFonts w:hint="eastAsia"/>
                <w:color w:val="000000" w:themeColor="text1"/>
                <w:sz w:val="24"/>
                <w14:textFill>
                  <w14:solidFill>
                    <w14:schemeClr w14:val="tx1"/>
                  </w14:solidFill>
                </w14:textFill>
              </w:rPr>
              <w:t>获取到</w:t>
            </w:r>
            <w:r>
              <w:rPr>
                <w:color w:val="000000" w:themeColor="text1"/>
                <w:sz w:val="24"/>
                <w14:textFill>
                  <w14:solidFill>
                    <w14:schemeClr w14:val="tx1"/>
                  </w14:solidFill>
                </w14:textFill>
              </w:rPr>
              <w:t>。</w:t>
            </w:r>
          </w:p>
          <w:p w14:paraId="106CED68">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Shi等的工作首次证明了AR/VR运动传感器能够通过捕获的面部细微动态推断用户的语音内容和身份信息，推断发言者身份的成功率高达97%，性别检测成功率高达99%以上[35]。Zhang等提出的SAFARI系统通过从零权限传感器IMU中提取人发声时引起面部肌肉振动，提取语音不变的生物特征音素，其平衡精度（Balanced Accuracy，BAC）在35名用户的数据集中达到了95%左右[36]。Cayir等提出的IMMERSPY系统证明了VR设备中零权限运动传感器IMU数据可被用于提取由HMD的扬声器中的用户语音敏感内容[37]。以上工作均说明，IMU数据可以应用于身份认证中</w:t>
            </w:r>
            <w:r>
              <w:rPr>
                <w:rFonts w:hint="eastAsia"/>
                <w:color w:val="000000" w:themeColor="text1"/>
                <w:sz w:val="24"/>
                <w14:textFill>
                  <w14:solidFill>
                    <w14:schemeClr w14:val="tx1"/>
                  </w14:solidFill>
                </w14:textFill>
              </w:rPr>
              <w:t>，但仍然存在开放集限制和</w:t>
            </w:r>
            <w:r>
              <w:rPr>
                <w:color w:val="000000" w:themeColor="text1"/>
                <w:sz w:val="24"/>
                <w14:textFill>
                  <w14:solidFill>
                    <w14:schemeClr w14:val="tx1"/>
                  </w14:solidFill>
                </w14:textFill>
              </w:rPr>
              <w:t>IMU</w:t>
            </w:r>
            <w:r>
              <w:rPr>
                <w:rFonts w:hint="eastAsia"/>
                <w:color w:val="000000" w:themeColor="text1"/>
                <w:sz w:val="24"/>
                <w14:textFill>
                  <w14:solidFill>
                    <w14:schemeClr w14:val="tx1"/>
                  </w14:solidFill>
                </w14:textFill>
              </w:rPr>
              <w:t>易受环境因素干扰导致鲁棒性差的问题。</w:t>
            </w:r>
          </w:p>
          <w:p w14:paraId="3938D023">
            <w:pPr>
              <w:spacing w:line="360"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2.4.3 小结</w:t>
            </w:r>
          </w:p>
          <w:p w14:paraId="13C3E831">
            <w:pPr>
              <w:spacing w:line="360" w:lineRule="auto"/>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 xml:space="preserve">     语音是</w:t>
            </w:r>
            <w:r>
              <w:rPr>
                <w:color w:val="000000" w:themeColor="text1"/>
                <w:sz w:val="24"/>
                <w14:textFill>
                  <w14:solidFill>
                    <w14:schemeClr w14:val="tx1"/>
                  </w14:solidFill>
                </w14:textFill>
              </w:rPr>
              <w:t>VR</w:t>
            </w:r>
            <w:r>
              <w:rPr>
                <w:rFonts w:hint="eastAsia"/>
                <w:color w:val="000000" w:themeColor="text1"/>
                <w:sz w:val="24"/>
                <w14:textFill>
                  <w14:solidFill>
                    <w14:schemeClr w14:val="tx1"/>
                  </w14:solidFill>
                </w14:textFill>
              </w:rPr>
              <w:t>中最自然的交互模态，其高频且持续产生，语音交互认证天然适合</w:t>
            </w:r>
            <w:r>
              <w:rPr>
                <w:color w:val="000000" w:themeColor="text1"/>
                <w:sz w:val="24"/>
                <w14:textFill>
                  <w14:solidFill>
                    <w14:schemeClr w14:val="tx1"/>
                  </w14:solidFill>
                </w14:textFill>
              </w:rPr>
              <w:t>VR</w:t>
            </w:r>
            <w:r>
              <w:rPr>
                <w:rFonts w:hint="eastAsia"/>
                <w:color w:val="000000" w:themeColor="text1"/>
                <w:sz w:val="24"/>
                <w14:textFill>
                  <w14:solidFill>
                    <w14:schemeClr w14:val="tx1"/>
                  </w14:solidFill>
                </w14:textFill>
              </w:rPr>
              <w:t>场景。但由于其易受到语音重放攻击等问题，具有较高安全威胁。虽然通过语音引起的加速度计扰动信号进行身份认证和语音推断被证明了有效性，但仅依赖</w:t>
            </w:r>
            <w:r>
              <w:rPr>
                <w:color w:val="000000" w:themeColor="text1"/>
                <w:sz w:val="24"/>
                <w14:textFill>
                  <w14:solidFill>
                    <w14:schemeClr w14:val="tx1"/>
                  </w14:solidFill>
                </w14:textFill>
              </w:rPr>
              <w:t>IMU</w:t>
            </w:r>
            <w:r>
              <w:rPr>
                <w:rFonts w:hint="eastAsia"/>
                <w:color w:val="000000" w:themeColor="text1"/>
                <w:sz w:val="24"/>
                <w14:textFill>
                  <w14:solidFill>
                    <w14:schemeClr w14:val="tx1"/>
                  </w14:solidFill>
                </w14:textFill>
              </w:rPr>
              <w:t>信号仍存在场景泛化性和开放集验证的问题。这些局限表面，</w:t>
            </w:r>
            <w:r>
              <w:rPr>
                <w:color w:val="000000" w:themeColor="text1"/>
                <w:sz w:val="24"/>
                <w14:textFill>
                  <w14:solidFill>
                    <w14:schemeClr w14:val="tx1"/>
                  </w14:solidFill>
                </w14:textFill>
              </w:rPr>
              <w:t>构建鲁棒的VR语音</w:t>
            </w:r>
            <w:r>
              <w:rPr>
                <w:rFonts w:hint="eastAsia"/>
                <w:color w:val="000000" w:themeColor="text1"/>
                <w:sz w:val="24"/>
                <w14:textFill>
                  <w14:solidFill>
                    <w14:schemeClr w14:val="tx1"/>
                  </w14:solidFill>
                </w14:textFill>
              </w:rPr>
              <w:t>交互</w:t>
            </w:r>
            <w:r>
              <w:rPr>
                <w:color w:val="000000" w:themeColor="text1"/>
                <w:sz w:val="24"/>
                <w14:textFill>
                  <w14:solidFill>
                    <w14:schemeClr w14:val="tx1"/>
                  </w14:solidFill>
                </w14:textFill>
              </w:rPr>
              <w:t>身份认证系统，不能孤立依赖某</w:t>
            </w:r>
            <w:r>
              <w:rPr>
                <w:rFonts w:hint="eastAsia"/>
                <w:color w:val="000000" w:themeColor="text1"/>
                <w:sz w:val="24"/>
                <w14:textFill>
                  <w14:solidFill>
                    <w14:schemeClr w14:val="tx1"/>
                  </w14:solidFill>
                </w14:textFill>
              </w:rPr>
              <w:t>个</w:t>
            </w:r>
            <w:r>
              <w:rPr>
                <w:color w:val="000000" w:themeColor="text1"/>
                <w:sz w:val="24"/>
                <w14:textFill>
                  <w14:solidFill>
                    <w14:schemeClr w14:val="tx1"/>
                  </w14:solidFill>
                </w14:textFill>
              </w:rPr>
              <w:t>单一模态，而需要挖掘不同模态信号之间的内在关联，通过跨模态</w:t>
            </w:r>
            <w:r>
              <w:rPr>
                <w:rFonts w:hint="eastAsia"/>
                <w:color w:val="000000" w:themeColor="text1"/>
                <w:sz w:val="24"/>
                <w14:textFill>
                  <w14:solidFill>
                    <w14:schemeClr w14:val="tx1"/>
                  </w14:solidFill>
                </w14:textFill>
              </w:rPr>
              <w:t>特征</w:t>
            </w:r>
            <w:r>
              <w:rPr>
                <w:color w:val="000000" w:themeColor="text1"/>
                <w:sz w:val="24"/>
                <w14:textFill>
                  <w14:solidFill>
                    <w14:schemeClr w14:val="tx1"/>
                  </w14:solidFill>
                </w14:textFill>
              </w:rPr>
              <w:t>融合弥补单模态的信息不完备性</w:t>
            </w:r>
            <w:r>
              <w:rPr>
                <w:rFonts w:hint="eastAsia"/>
                <w:color w:val="000000" w:themeColor="text1"/>
                <w:sz w:val="24"/>
                <w14:textFill>
                  <w14:solidFill>
                    <w14:schemeClr w14:val="tx1"/>
                  </w14:solidFill>
                </w14:textFill>
              </w:rPr>
              <w:t>。</w:t>
            </w:r>
          </w:p>
          <w:p w14:paraId="63FEC4B2">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2.5 研究现状小</w:t>
            </w:r>
            <w:r>
              <w:rPr>
                <w:rFonts w:hint="eastAsia"/>
                <w:color w:val="000000" w:themeColor="text1"/>
                <w:sz w:val="24"/>
                <w14:textFill>
                  <w14:solidFill>
                    <w14:schemeClr w14:val="tx1"/>
                  </w14:solidFill>
                </w14:textFill>
              </w:rPr>
              <w:t>结</w:t>
            </w:r>
          </w:p>
          <w:p w14:paraId="46C1EA7A">
            <w:pPr>
              <w:spacing w:line="360" w:lineRule="auto"/>
              <w:ind w:firstLine="600" w:firstLineChars="2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本章从知识型认证、行为生物特征认证、生理信号认证和语音交互认证四条技术路线出发，系统梳理了VR/AR头戴设备场景下身份认证的研究现状。</w:t>
            </w:r>
          </w:p>
          <w:p w14:paraId="6342E120">
            <w:pPr>
              <w:spacing w:line="360" w:lineRule="auto"/>
              <w:ind w:firstLine="600" w:firstLineChars="2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总体而言，VR场景下的身份认证面临一个核心矛盾：VR会话的长时间、沉浸式特性要求认证方案具备无感、持续、不打断交互的能力，而VR设备的物理形态和交互范式严重限制了传统认证手段的适用性。知识型认证需要用户主动输入，可用性差且易受肩窥攻击；行为认证依赖特定交互任务，跨场景泛化能力有限；生理信号认证虽实现了被动感知，但信号微弱、个体区分度不足。相比之下，语音交互认证具有独特优势——语音是VR场景中最自然、最高频的交互模态，用户在社交、语音助手交互、协同办公中持续产生语音数据，天然适合无感持续认证。与此同时，多项研究已证明VR头戴设备标配的加速度计信号中编码了丰富的语音语义和说话人身份信息，可作为语音认证的重要辅助模态。</w:t>
            </w:r>
          </w:p>
          <w:p w14:paraId="33651B28">
            <w:pPr>
              <w:spacing w:line="360" w:lineRule="auto"/>
              <w:ind w:firstLine="600" w:firstLineChars="2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然而，综合现有研究，当前基于语音交互的VR身份认证仍存在尚未解决的关键问题。其一，单模态认证的安全性与鲁棒性不足。纯声学域的声纹认证在VR环境噪声干扰和语音伪造攻击（重放、深度伪造）面前安全性严重不足。而仅依赖IMU加速度信号的方案则受制于传感器采样率低、频带窄、信噪比差等固有缺陷，独立承载的身份特征信息不完备，难以实现高精度认证。其二，闭集训练范式导致的泛化能力受限。现有基于深度学习的语音交互认证方案普遍采用闭集训练策略，即模型仅在固定用户集合上训练和评估。这导致系统在面对注册阶段未见过的新用户时识别能力急剧下降，且在小样本条件下模型性能严重退化，难以满足VR设备用户规模动态变化、注册成本需尽可能低的实际部署需求。</w:t>
            </w:r>
          </w:p>
          <w:p w14:paraId="6CC86D4D">
            <w:pPr>
              <w:spacing w:line="360" w:lineRule="auto"/>
              <w:ind w:firstLine="600" w:firstLineChars="2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针对上述问题，本文提出一种基于跨模态转化的身份认证方法。通过采集用户佩戴VR/AR头戴设备发声时的加速度信号与语音信号，建模二者之间基于骨传导的跨模态转化关系，从这一转化关系中提取难以被外部窃取或伪造的生物特征信息，实现更安全、更鲁棒的身份认证。并基于小样本学习与开集识别框架，提出面向多用户的泛化性解决方案，使系统在少量注册样本和未知用户条件下仍能保持可靠的认证性能。</w:t>
            </w:r>
          </w:p>
          <w:p w14:paraId="76CDF06E">
            <w:pPr>
              <w:numPr>
                <w:ilvl w:val="0"/>
                <w:numId w:val="3"/>
              </w:num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研究目标</w:t>
            </w:r>
          </w:p>
          <w:p w14:paraId="485DBED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为了利用加速度和语音两个模态之间的耦合关系，最大化的提升身份认证的安全性，本文研究一种基于模态转化的VR场景身份认证方案。当用户发声的时候，采集此时的加速度计数据和语音数据，进行模态转化，从模态转化</w:t>
            </w:r>
            <w:r>
              <w:rPr>
                <w:rFonts w:hint="eastAsia"/>
                <w:color w:val="000000" w:themeColor="text1"/>
                <w:sz w:val="24"/>
                <w14:textFill>
                  <w14:solidFill>
                    <w14:schemeClr w14:val="tx1"/>
                  </w14:solidFill>
                </w14:textFill>
              </w:rPr>
              <w:t>这个过程</w:t>
            </w:r>
            <w:r>
              <w:rPr>
                <w:color w:val="000000" w:themeColor="text1"/>
                <w:sz w:val="24"/>
                <w14:textFill>
                  <w14:solidFill>
                    <w14:schemeClr w14:val="tx1"/>
                  </w14:solidFill>
                </w14:textFill>
              </w:rPr>
              <w:t>中挖掘与人体相关的生物特征，从而实现身份认证。</w:t>
            </w:r>
          </w:p>
          <w:p w14:paraId="40BB7244">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3.1 基于模态转化的循环一致性身份认证</w:t>
            </w:r>
            <w:r>
              <w:rPr>
                <w:rFonts w:hint="eastAsia"/>
                <w:color w:val="000000" w:themeColor="text1"/>
                <w:sz w:val="24"/>
                <w14:textFill>
                  <w14:solidFill>
                    <w14:schemeClr w14:val="tx1"/>
                  </w14:solidFill>
                </w14:textFill>
              </w:rPr>
              <w:t>技术</w:t>
            </w:r>
          </w:p>
          <w:p w14:paraId="6AB1E29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针对VR环境中传统单模态语音认证易受攻击的局限性，本研究旨在提出一种基于 循环对抗生成网络(Cycle-Consistent Generative Adversarial Network，CycleGAN)的循环一致性身份认证方法。该方法打破了常规生成模型对绝对逼真度的追求，转而将预训练的CycleGAN作为多层次特征提取器。利用不同用户骨骼密度、软组织分布等生理特性的唯一性，提取网络在执行“加速度-语音-加速度”循环转换时产生的“重建误差”作为最具区分度的用户特异性模式。结合提取的浅层纹理特征与深层瓶颈语义特征，构建多源特征融合的身份识别表示 。</w:t>
            </w:r>
          </w:p>
          <w:p w14:paraId="2E5C7673">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3.2 基于模态</w:t>
            </w:r>
            <w:r>
              <w:rPr>
                <w:rFonts w:hint="eastAsia"/>
                <w:color w:val="000000" w:themeColor="text1"/>
                <w:sz w:val="24"/>
                <w14:textFill>
                  <w14:solidFill>
                    <w14:schemeClr w14:val="tx1"/>
                  </w14:solidFill>
                </w14:textFill>
              </w:rPr>
              <w:t>转化</w:t>
            </w:r>
            <w:r>
              <w:rPr>
                <w:color w:val="000000" w:themeColor="text1"/>
                <w:sz w:val="24"/>
                <w14:textFill>
                  <w14:solidFill>
                    <w14:schemeClr w14:val="tx1"/>
                  </w14:solidFill>
                </w14:textFill>
              </w:rPr>
              <w:t>的</w:t>
            </w:r>
            <w:r>
              <w:rPr>
                <w:rFonts w:hint="eastAsia"/>
                <w:color w:val="000000" w:themeColor="text1"/>
                <w:sz w:val="24"/>
                <w14:textFill>
                  <w14:solidFill>
                    <w14:schemeClr w14:val="tx1"/>
                  </w14:solidFill>
                </w14:textFill>
              </w:rPr>
              <w:t>融合特征</w:t>
            </w:r>
            <w:r>
              <w:rPr>
                <w:color w:val="000000" w:themeColor="text1"/>
                <w:sz w:val="24"/>
                <w14:textFill>
                  <w14:solidFill>
                    <w14:schemeClr w14:val="tx1"/>
                  </w14:solidFill>
                </w14:textFill>
              </w:rPr>
              <w:t>小样本开放集身份认证</w:t>
            </w:r>
            <w:r>
              <w:rPr>
                <w:rFonts w:hint="eastAsia"/>
                <w:color w:val="000000" w:themeColor="text1"/>
                <w:sz w:val="24"/>
                <w14:textFill>
                  <w14:solidFill>
                    <w14:schemeClr w14:val="tx1"/>
                  </w14:solidFill>
                </w14:textFill>
              </w:rPr>
              <w:t>技术</w:t>
            </w:r>
          </w:p>
          <w:p w14:paraId="746D941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针对基础跨模态映射模型的循环一致性特性和身份认证训练需要在闭集环境下的局限性，本研究引入条件扩散模型（Conditional Diffusion Model）作为补充，利用其在双向条件去噪映射过程中为弥补骨传导信号缺失而补充的频域结构内容，提取出能够反映用户独特骨传导物理缺陷的残差身份特征。同时，针对实际消费级VR场景中难以获取海量多用户数据以划分防伪边界的工程痛点，本研究计划将传统的多用户对比验证范式向单用户异常检测转移，利用生成模型合成伪造数据构建专属模型的安全边界。此外，利用人体发声器官机械运动的迟滞与预演效应，本研究将进一步挖掘发声准备期与恢复期的面部振动响应，从而构建维度更丰满、安全性更高的多模态身份表征模型</w:t>
            </w:r>
          </w:p>
          <w:p w14:paraId="3919A1E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3.3 基于</w:t>
            </w:r>
            <w:r>
              <w:rPr>
                <w:rFonts w:hint="eastAsia"/>
                <w:color w:val="000000" w:themeColor="text1"/>
                <w:sz w:val="24"/>
                <w14:textFill>
                  <w14:solidFill>
                    <w14:schemeClr w14:val="tx1"/>
                  </w14:solidFill>
                </w14:textFill>
              </w:rPr>
              <w:t>人体</w:t>
            </w:r>
            <w:r>
              <w:rPr>
                <w:color w:val="000000" w:themeColor="text1"/>
                <w:sz w:val="24"/>
                <w14:textFill>
                  <w14:solidFill>
                    <w14:schemeClr w14:val="tx1"/>
                  </w14:solidFill>
                </w14:textFill>
              </w:rPr>
              <w:t>发声振动信号的VR</w:t>
            </w:r>
            <w:r>
              <w:rPr>
                <w:rFonts w:hint="eastAsia"/>
                <w:color w:val="000000" w:themeColor="text1"/>
                <w:sz w:val="24"/>
                <w14:textFill>
                  <w14:solidFill>
                    <w14:schemeClr w14:val="tx1"/>
                  </w14:solidFill>
                </w14:textFill>
              </w:rPr>
              <w:t>用户</w:t>
            </w:r>
            <w:r>
              <w:rPr>
                <w:color w:val="000000" w:themeColor="text1"/>
                <w:sz w:val="24"/>
                <w14:textFill>
                  <w14:solidFill>
                    <w14:schemeClr w14:val="tx1"/>
                  </w14:solidFill>
                </w14:textFill>
              </w:rPr>
              <w:t>身份认证系统</w:t>
            </w:r>
          </w:p>
          <w:p w14:paraId="615ED0D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面向实际的虚拟现实交互应用，本研究旨在设计并开发一款基于人体发声振动的无感身份认证系统，并计划将其集成于HMD中。该系统将采用自下而上的四层架构：负责底层IMU传感器隐式静默调用的数据采集层、对用户数据进行预处理的数据处理层、执行跨模态特征提取与身份比对推理的模型应用层、保障用户交互日志与模板库安全的数据存储层。最终，研究将通过模拟真实用户的注册与验证流程，全面评估该系统在接口响应实时性、系统运行稳定性以及等错误率（EER）等关键指标上的实际工程表现。</w:t>
            </w:r>
          </w:p>
          <w:p w14:paraId="6552CA05">
            <w:pPr>
              <w:numPr>
                <w:ilvl w:val="0"/>
                <w:numId w:val="3"/>
              </w:num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实施方案及可行性分析</w:t>
            </w:r>
          </w:p>
          <w:p w14:paraId="183EA38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4.1 基于模态转化的循环一致性身份认证</w:t>
            </w:r>
          </w:p>
          <w:p w14:paraId="403BD828">
            <w:pPr>
              <w:widowControl/>
              <w:spacing w:line="360" w:lineRule="auto"/>
              <w:ind w:firstLine="420"/>
              <w:jc w:val="left"/>
              <w:rPr>
                <w:color w:val="000000" w:themeColor="text1"/>
                <w:sz w:val="24"/>
                <w14:textFill>
                  <w14:solidFill>
                    <w14:schemeClr w14:val="tx1"/>
                  </w14:solidFill>
                </w14:textFill>
              </w:rPr>
            </w:pPr>
            <w:r>
              <w:rPr>
                <w:color w:val="000000" w:themeColor="text1"/>
                <w:kern w:val="0"/>
                <w:sz w:val="24"/>
                <w:lang w:bidi="ar"/>
                <w14:textFill>
                  <w14:solidFill>
                    <w14:schemeClr w14:val="tx1"/>
                  </w14:solidFill>
                </w14:textFill>
              </w:rPr>
              <w:t>随着头戴式显示器的普及，用户在沉浸式空间中完成账户登录、资源访问、支付授权和多人协作的需求显著增加，语音交互也成为了用户与头显的主要交互方式之一。然而，传统语音认证方式在VR环境中存在易受模仿或攻击、强依赖外设等局限。为了解决本问题，本方案提出一种基于零权限IMU传感器中的加速度计数据的无感身份认证机制。当用户在VR环境中说话时，声带的振动会通过头部体传导路径传递，被VR头显内置的ACC传感器所感知。由于每个人的头骨密度、软组织结构和发声习惯具有高度的生理特异性，这种信号天然包含了丰富的生物特征信息。然而，原始ACC信号属于低频机械振动，且受到严重的</w:t>
            </w:r>
            <w:r>
              <w:rPr>
                <w:rFonts w:hint="eastAsia"/>
                <w:color w:val="000000" w:themeColor="text1"/>
                <w:kern w:val="0"/>
                <w:sz w:val="24"/>
                <w:lang w:bidi="ar"/>
                <w14:textFill>
                  <w14:solidFill>
                    <w14:schemeClr w14:val="tx1"/>
                  </w14:solidFill>
                </w14:textFill>
              </w:rPr>
              <w:t>环境噪声和</w:t>
            </w:r>
            <w:r>
              <w:rPr>
                <w:color w:val="000000" w:themeColor="text1"/>
                <w:kern w:val="0"/>
                <w:sz w:val="24"/>
                <w:lang w:bidi="ar"/>
                <w14:textFill>
                  <w14:solidFill>
                    <w14:schemeClr w14:val="tx1"/>
                  </w14:solidFill>
                </w14:textFill>
              </w:rPr>
              <w:t>身体运动噪声干扰，直接提取身份特征的鲁棒性较差。为此，本方案引入了 CycleGAN进行 ACC与 Audio之间的跨模态转化。通过VR头戴式设备隐式采集用户发声时的体传导加速度和语音信号，使用改进的循环生成对抗网络进行模态转化，进而获得循环一致性转化特征并进行身份认证。</w:t>
            </w:r>
          </w:p>
          <w:p w14:paraId="59A88653">
            <w:pPr>
              <w:widowControl/>
              <w:spacing w:line="360" w:lineRule="auto"/>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4.1.1 方案概述</w:t>
            </w:r>
          </w:p>
          <w:p w14:paraId="4CB6157E">
            <w:pPr>
              <w:spacing w:line="360" w:lineRule="auto"/>
              <w:ind w:firstLine="480" w:firstLineChars="200"/>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本方案的提出的VR用户身份认证技术如图1所示。该方案利用VR内置的加速度计传感器和麦克风，收集用户的语音交互数据。</w:t>
            </w:r>
            <w:r>
              <w:rPr>
                <w:color w:val="000000" w:themeColor="text1"/>
                <w:sz w:val="24"/>
                <w14:textFill>
                  <w14:solidFill>
                    <w14:schemeClr w14:val="tx1"/>
                  </w14:solidFill>
                </w14:textFill>
              </w:rPr>
              <w:t>随后，通过训练模态转化模型提取用户的多源循环一致性生物特征，</w:t>
            </w:r>
            <w:r>
              <w:rPr>
                <w:color w:val="000000" w:themeColor="text1"/>
                <w:kern w:val="0"/>
                <w:sz w:val="24"/>
                <w:lang w:bidi="ar"/>
                <w14:textFill>
                  <w14:solidFill>
                    <w14:schemeClr w14:val="tx1"/>
                  </w14:solidFill>
                </w14:textFill>
              </w:rPr>
              <w:t>本研究方案构建了一个多源特征融合的身份认证架构。</w:t>
            </w:r>
            <w:r>
              <w:rPr>
                <w:color w:val="000000" w:themeColor="text1"/>
                <w:sz w:val="24"/>
                <w14:textFill>
                  <w14:solidFill>
                    <w14:schemeClr w14:val="tx1"/>
                  </w14:solidFill>
                </w14:textFill>
              </w:rPr>
              <w:t>并基于对比学习方法构建了一个具有高内聚性与强区分度的身份度量表示空间，实现对用户生物信息的精准表征与鉴别。在训练阶段，采集用户的语音交互数据进行数据处理与模型训练；而在认证攻击阶段，采集用户的交互数据进行注册后，即可进行注册者和攻击者的认证识别。</w:t>
            </w:r>
          </w:p>
          <w:p w14:paraId="79DDE823">
            <w:pPr>
              <w:widowControl/>
              <w:spacing w:line="360" w:lineRule="auto"/>
              <w:ind w:firstLine="42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671185" cy="2320925"/>
                  <wp:effectExtent l="0" t="0" r="0" b="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5"/>
                          <a:srcRect t="5529" b="6229"/>
                          <a:stretch>
                            <a:fillRect/>
                          </a:stretch>
                        </pic:blipFill>
                        <pic:spPr>
                          <a:xfrm>
                            <a:off x="0" y="0"/>
                            <a:ext cx="5671185" cy="2320925"/>
                          </a:xfrm>
                          <a:prstGeom prst="rect">
                            <a:avLst/>
                          </a:prstGeom>
                          <a:noFill/>
                          <a:ln>
                            <a:noFill/>
                          </a:ln>
                        </pic:spPr>
                      </pic:pic>
                    </a:graphicData>
                  </a:graphic>
                </wp:inline>
              </w:drawing>
            </w:r>
          </w:p>
          <w:p w14:paraId="25E23D5D">
            <w:pPr>
              <w:widowControl/>
              <w:spacing w:line="360" w:lineRule="auto"/>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1：方案总流程图</w:t>
            </w:r>
          </w:p>
          <w:p w14:paraId="528DD731">
            <w:pPr>
              <w:widowControl/>
              <w:spacing w:line="360" w:lineRule="auto"/>
              <w:ind w:firstLine="480" w:firstLineChars="200"/>
              <w:jc w:val="left"/>
              <w:rPr>
                <w:color w:val="000000" w:themeColor="text1"/>
                <w14:textFill>
                  <w14:solidFill>
                    <w14:schemeClr w14:val="tx1"/>
                  </w14:solidFill>
                </w14:textFill>
              </w:rPr>
            </w:pPr>
            <w:r>
              <w:rPr>
                <w:color w:val="000000" w:themeColor="text1"/>
                <w:kern w:val="0"/>
                <w:sz w:val="24"/>
                <w:lang w:bidi="ar"/>
                <w14:textFill>
                  <w14:solidFill>
                    <w14:schemeClr w14:val="tx1"/>
                  </w14:solidFill>
                </w14:textFill>
              </w:rPr>
              <w:t>本方案的核心创新在于不依赖生成域的绝对还原度，而是利用“循环一致性重建差异”作为主要身份特征实现身份认证。由于CycleGAN模型学习的是跨模态映射流形，当输入特定用户的ACC信号并经历 ACC -&gt;Audio -&gt;ACC 的循环转换时，由于该用户的骨传导传递函数具有唯一性，网络无法完美重建原始信号。这种重建误差不仅不是噪声，反而是最具区分度的用户特异性模式，因此，本方案将其作为身份认证的核心特征。</w:t>
            </w:r>
          </w:p>
          <w:p w14:paraId="5DC19351">
            <w:pPr>
              <w:widowControl/>
              <w:spacing w:line="360" w:lineRule="auto"/>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4.1.2 可行性分析</w:t>
            </w:r>
          </w:p>
          <w:p w14:paraId="6C8F12B3">
            <w:pPr>
              <w:widowControl/>
              <w:spacing w:line="360" w:lineRule="auto"/>
              <w:ind w:firstLine="42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人类发声是一个复杂的生理过程。声带振动产生基频（F0）和一系列谐波，构成了声音的音高和音色。这些声波通过两条主要路径向外传播，如图2所示。</w:t>
            </w:r>
          </w:p>
          <w:p w14:paraId="47C1B369">
            <w:pPr>
              <w:widowControl/>
              <w:spacing w:line="360" w:lineRule="auto"/>
              <w:ind w:firstLine="420"/>
              <w:rPr>
                <w:color w:val="000000" w:themeColor="text1"/>
                <w:sz w:val="24"/>
                <w14:textFill>
                  <w14:solidFill>
                    <w14:schemeClr w14:val="tx1"/>
                  </w14:solidFill>
                </w14:textFill>
              </w:rPr>
            </w:pPr>
            <w:r>
              <w:rPr>
                <w:rStyle w:val="14"/>
                <w:b w:val="0"/>
                <w:color w:val="000000" w:themeColor="text1"/>
                <w:kern w:val="0"/>
                <w:sz w:val="24"/>
                <w:lang w:bidi="ar"/>
                <w14:textFill>
                  <w14:solidFill>
                    <w14:schemeClr w14:val="tx1"/>
                  </w14:solidFill>
                </w14:textFill>
              </w:rPr>
              <w:t>空气传导路径A：</w:t>
            </w:r>
            <w:r>
              <w:rPr>
                <w:color w:val="000000" w:themeColor="text1"/>
                <w:kern w:val="0"/>
                <w:sz w:val="24"/>
                <w:lang w:bidi="ar"/>
                <w14:textFill>
                  <w14:solidFill>
                    <w14:schemeClr w14:val="tx1"/>
                  </w14:solidFill>
                </w14:textFill>
              </w:rPr>
              <w:t>声波通过咽喉、口腔和鼻腔，引起空气振动，最终被麦克风等设备捕捉。这是我们通常听到的声音，包含了丰富的语义和声纹信息[38]。</w:t>
            </w:r>
          </w:p>
          <w:p w14:paraId="757922DB">
            <w:pPr>
              <w:widowControl/>
              <w:spacing w:line="360" w:lineRule="auto"/>
              <w:ind w:firstLine="480" w:firstLineChars="20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体传导路径B：人体发声时的振动信号在骨骼与软组织中传导，是一种封闭在人体内部的物理过程。当声带振动并在声道内形成驻波时，机械声压会直接作用于喉壁、软组织（B2）以及相连的骨骼(B1)。这些机械能通过颅面骨骼（如下颌骨、颞骨、颧骨）和软组织网络，以固体弹性波的形式进行传导。可穿戴设备内置的零权限IMU加速度计数据，通过紧密贴合用户的皮肤，能够直接测量这种由发声引起的骨骼表面加速度变化[39]。</w:t>
            </w:r>
          </w:p>
          <w:p w14:paraId="5AD84935">
            <w:pPr>
              <w:widowControl/>
              <w:spacing w:line="360" w:lineRule="auto"/>
              <w:ind w:firstLine="480" w:firstLineChars="20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时频分析：在加速度计的信号处理中，</w:t>
            </w:r>
            <w:r>
              <w:rPr>
                <w:color w:val="000000" w:themeColor="text1"/>
                <w:sz w:val="24"/>
                <w14:textFill>
                  <w14:solidFill>
                    <w14:schemeClr w14:val="tx1"/>
                  </w14:solidFill>
                </w14:textFill>
              </w:rPr>
              <w:t>一般将加速度计传感器数据经过短时傅里叶变换转换为短时距傅里叶变换（Short-time Fourier Transform, STFT）幅度谱[6]；在语音信号处理中，由于梅尔频谱图(Mel Spectrogram)更贴近人耳感知特性，适合用于语音特征提取[7]。因此，信号的表现形式是加速度计数据的STFT频谱图和语音的梅尔频谱图。</w:t>
            </w:r>
          </w:p>
          <w:p w14:paraId="7F73FDF7">
            <w:pPr>
              <w:widowControl/>
              <w:spacing w:line="360" w:lineRule="auto"/>
              <w:ind w:firstLine="420" w:firstLineChars="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820920" cy="2418715"/>
                  <wp:effectExtent l="12700" t="12700" r="17780" b="6985"/>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6"/>
                          <a:stretch>
                            <a:fillRect/>
                          </a:stretch>
                        </pic:blipFill>
                        <pic:spPr>
                          <a:xfrm>
                            <a:off x="0" y="0"/>
                            <a:ext cx="4820920" cy="2418715"/>
                          </a:xfrm>
                          <a:prstGeom prst="rect">
                            <a:avLst/>
                          </a:prstGeom>
                          <a:noFill/>
                          <a:ln>
                            <a:solidFill>
                              <a:schemeClr val="tx1"/>
                            </a:solidFill>
                          </a:ln>
                        </pic:spPr>
                      </pic:pic>
                    </a:graphicData>
                  </a:graphic>
                </wp:inline>
              </w:drawing>
            </w:r>
          </w:p>
          <w:p w14:paraId="7EC2AC61">
            <w:pPr>
              <w:widowControl/>
              <w:spacing w:line="360" w:lineRule="auto"/>
              <w:jc w:val="center"/>
              <w:rPr>
                <w:color w:val="000000" w:themeColor="text1"/>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2：佩戴HMD时声音的两种传导路径</w:t>
            </w:r>
          </w:p>
          <w:p w14:paraId="79A25FDE">
            <w:pPr>
              <w:widowControl/>
              <w:spacing w:line="360" w:lineRule="auto"/>
              <w:ind w:firstLine="42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因此，面部</w:t>
            </w:r>
            <w:r>
              <w:rPr>
                <w:rFonts w:hint="eastAsia"/>
                <w:color w:val="000000" w:themeColor="text1"/>
                <w:kern w:val="0"/>
                <w:sz w:val="24"/>
                <w:lang w:bidi="ar"/>
                <w14:textFill>
                  <w14:solidFill>
                    <w14:schemeClr w14:val="tx1"/>
                  </w14:solidFill>
                </w14:textFill>
              </w:rPr>
              <w:t>发声</w:t>
            </w:r>
            <w:r>
              <w:rPr>
                <w:color w:val="000000" w:themeColor="text1"/>
                <w:kern w:val="0"/>
                <w:sz w:val="24"/>
                <w:lang w:bidi="ar"/>
                <w14:textFill>
                  <w14:solidFill>
                    <w14:schemeClr w14:val="tx1"/>
                  </w14:solidFill>
                </w14:textFill>
              </w:rPr>
              <w:t>振动信号与空气振动信号传递函数如下：</w:t>
            </w:r>
          </w:p>
          <w:p w14:paraId="65948971">
            <w:pPr>
              <w:widowControl/>
              <w:spacing w:line="360" w:lineRule="auto"/>
              <w:ind w:firstLine="420"/>
              <w:jc w:val="center"/>
              <w:rPr>
                <w:color w:val="000000" w:themeColor="text1"/>
                <w:kern w:val="0"/>
                <w:sz w:val="24"/>
                <w:lang w:bidi="ar"/>
                <w14:textFill>
                  <w14:solidFill>
                    <w14:schemeClr w14:val="tx1"/>
                  </w14:solidFill>
                </w14:textFill>
              </w:rPr>
            </w:pPr>
            <m:oMath>
              <m:d>
                <m:dPr>
                  <m:begChr m:val="{"/>
                  <m:endChr m:val=""/>
                  <m:ctrlPr>
                    <w:rPr>
                      <w:rFonts w:ascii="Cambria Math" w:hAnsi="Cambria Math"/>
                      <w:i/>
                      <w:iCs/>
                      <w:color w:val="000000" w:themeColor="text1"/>
                      <w:kern w:val="0"/>
                      <w:sz w:val="24"/>
                      <w:lang w:bidi="ar"/>
                      <w14:textFill>
                        <w14:solidFill>
                          <w14:schemeClr w14:val="tx1"/>
                        </w14:solidFill>
                      </w14:textFill>
                    </w:rPr>
                  </m:ctrlPr>
                </m:dPr>
                <m:e>
                  <m:m>
                    <m:mPr>
                      <m:mcs>
                        <m:mc>
                          <m:mcPr>
                            <m:count m:val="3"/>
                            <m:mcJc m:val="center"/>
                          </m:mcPr>
                        </m:mc>
                      </m:mcs>
                      <m:plcHide m:val="1"/>
                      <m:ctrlPr>
                        <w:rPr>
                          <w:rFonts w:ascii="Cambria Math" w:hAnsi="Cambria Math"/>
                          <w:i/>
                          <w:iCs/>
                          <w:color w:val="000000" w:themeColor="text1"/>
                          <w:kern w:val="0"/>
                          <w:sz w:val="24"/>
                          <w:lang w:bidi="ar"/>
                          <w14:textFill>
                            <w14:solidFill>
                              <w14:schemeClr w14:val="tx1"/>
                            </w14:solidFill>
                          </w14:textFill>
                        </w:rPr>
                      </m:ctrlPr>
                    </m:mPr>
                    <m:mr>
                      <m:e>
                        <m:r>
                          <m:rPr/>
                          <w:rPr>
                            <w:rFonts w:ascii="Cambria Math" w:hAnsi="Cambria Math"/>
                            <w:color w:val="000000" w:themeColor="text1"/>
                            <w:kern w:val="0"/>
                            <w:sz w:val="24"/>
                            <w:lang w:bidi="ar"/>
                            <w14:textFill>
                              <w14:solidFill>
                                <w14:schemeClr w14:val="tx1"/>
                              </w14:solidFill>
                            </w14:textFill>
                          </w:rPr>
                          <m:t>Acc</m:t>
                        </m:r>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ctrlPr>
                          <w:rPr>
                            <w:rFonts w:ascii="Cambria Math" w:hAnsi="Cambria Math"/>
                            <w:i/>
                            <w:iCs/>
                            <w:color w:val="000000" w:themeColor="text1"/>
                            <w:kern w:val="0"/>
                            <w:sz w:val="24"/>
                            <w:lang w:bidi="ar"/>
                            <w14:textFill>
                              <w14:solidFill>
                                <w14:schemeClr w14:val="tx1"/>
                              </w14:solidFill>
                            </w14:textFill>
                          </w:rPr>
                        </m:ctrlPr>
                      </m:e>
                      <m:e>
                        <m:r>
                          <m:rPr/>
                          <w:rPr>
                            <w:rFonts w:ascii="Cambria Math" w:hAnsi="Cambria Math"/>
                            <w:color w:val="000000" w:themeColor="text1"/>
                            <w:kern w:val="0"/>
                            <w:sz w:val="24"/>
                            <w:lang w:bidi="ar"/>
                            <w14:textFill>
                              <w14:solidFill>
                                <w14:schemeClr w14:val="tx1"/>
                              </w14:solidFill>
                            </w14:textFill>
                          </w:rPr>
                          <m:t>≈</m:t>
                        </m:r>
                        <m:ctrlPr>
                          <w:rPr>
                            <w:rFonts w:ascii="Cambria Math" w:hAnsi="Cambria Math"/>
                            <w:i/>
                            <w:iCs/>
                            <w:color w:val="000000" w:themeColor="text1"/>
                            <w:kern w:val="0"/>
                            <w:sz w:val="24"/>
                            <w:lang w:bidi="ar"/>
                            <w14:textFill>
                              <w14:solidFill>
                                <w14:schemeClr w14:val="tx1"/>
                              </w14:solidFill>
                            </w14:textFill>
                          </w:rPr>
                        </m:ctrlPr>
                      </m:e>
                      <m:e>
                        <m:r>
                          <m:rPr/>
                          <w:rPr>
                            <w:rFonts w:ascii="Cambria Math" w:hAnsi="Cambria Math"/>
                            <w:color w:val="000000" w:themeColor="text1"/>
                            <w:kern w:val="0"/>
                            <w:sz w:val="24"/>
                            <w:lang w:bidi="ar"/>
                            <w14:textFill>
                              <w14:solidFill>
                                <w14:schemeClr w14:val="tx1"/>
                              </w14:solidFill>
                            </w14:textFill>
                          </w:rPr>
                          <m:t>S</m:t>
                        </m:r>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r>
                          <m:rPr/>
                          <w:rPr>
                            <w:rFonts w:ascii="Cambria Math" w:hAnsi="Cambria Math"/>
                            <w:color w:val="000000" w:themeColor="text1"/>
                            <w:kern w:val="0"/>
                            <w:sz w:val="24"/>
                            <w:lang w:bidi="ar"/>
                            <w14:textFill>
                              <w14:solidFill>
                                <w14:schemeClr w14:val="tx1"/>
                              </w14:solidFill>
                            </w14:textFill>
                          </w:rPr>
                          <m:t>∗</m:t>
                        </m:r>
                        <m:sSub>
                          <m:sSubPr>
                            <m:ctrlPr>
                              <w:rPr>
                                <w:rFonts w:ascii="Cambria Math" w:hAnsi="Cambria Math"/>
                                <w:i/>
                                <w:iCs/>
                                <w:color w:val="000000" w:themeColor="text1"/>
                                <w:kern w:val="0"/>
                                <w:sz w:val="24"/>
                                <w:lang w:bidi="ar"/>
                                <w14:textFill>
                                  <w14:solidFill>
                                    <w14:schemeClr w14:val="tx1"/>
                                  </w14:solidFill>
                                </w14:textFill>
                              </w:rPr>
                            </m:ctrlPr>
                          </m:sSubPr>
                          <m:e>
                            <m:r>
                              <m:rPr/>
                              <w:rPr>
                                <w:rFonts w:ascii="Cambria Math" w:hAnsi="Cambria Math"/>
                                <w:color w:val="000000" w:themeColor="text1"/>
                                <w:kern w:val="0"/>
                                <w:sz w:val="24"/>
                                <w:lang w:bidi="ar"/>
                                <w14:textFill>
                                  <w14:solidFill>
                                    <w14:schemeClr w14:val="tx1"/>
                                  </w14:solidFill>
                                </w14:textFill>
                              </w:rPr>
                              <m:t>H</m:t>
                            </m:r>
                            <m:ctrlPr>
                              <w:rPr>
                                <w:rFonts w:ascii="Cambria Math" w:hAnsi="Cambria Math"/>
                                <w:i/>
                                <w:iCs/>
                                <w:color w:val="000000" w:themeColor="text1"/>
                                <w:kern w:val="0"/>
                                <w:sz w:val="24"/>
                                <w:lang w:bidi="ar"/>
                                <w14:textFill>
                                  <w14:solidFill>
                                    <w14:schemeClr w14:val="tx1"/>
                                  </w14:solidFill>
                                </w14:textFill>
                              </w:rPr>
                            </m:ctrlPr>
                          </m:e>
                          <m:sub>
                            <m:r>
                              <m:rPr/>
                              <w:rPr>
                                <w:rFonts w:ascii="Cambria Math" w:hAnsi="Cambria Math"/>
                                <w:color w:val="000000" w:themeColor="text1"/>
                                <w:kern w:val="0"/>
                                <w:sz w:val="24"/>
                                <w:lang w:bidi="ar"/>
                                <w14:textFill>
                                  <w14:solidFill>
                                    <w14:schemeClr w14:val="tx1"/>
                                  </w14:solidFill>
                                </w14:textFill>
                              </w:rPr>
                              <m:t>bone</m:t>
                            </m:r>
                            <m:ctrlPr>
                              <w:rPr>
                                <w:rFonts w:ascii="Cambria Math" w:hAnsi="Cambria Math"/>
                                <w:i/>
                                <w:iCs/>
                                <w:color w:val="000000" w:themeColor="text1"/>
                                <w:kern w:val="0"/>
                                <w:sz w:val="24"/>
                                <w:lang w:bidi="ar"/>
                                <w14:textFill>
                                  <w14:solidFill>
                                    <w14:schemeClr w14:val="tx1"/>
                                  </w14:solidFill>
                                </w14:textFill>
                              </w:rPr>
                            </m:ctrlPr>
                          </m:sub>
                        </m:sSub>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r>
                          <m:rPr/>
                          <w:rPr>
                            <w:rFonts w:ascii="Cambria Math" w:hAnsi="Cambria Math"/>
                            <w:color w:val="000000" w:themeColor="text1"/>
                            <w:kern w:val="0"/>
                            <w:sz w:val="24"/>
                            <w:lang w:bidi="ar"/>
                            <w14:textFill>
                              <w14:solidFill>
                                <w14:schemeClr w14:val="tx1"/>
                              </w14:solidFill>
                            </w14:textFill>
                          </w:rPr>
                          <m:t>∗</m:t>
                        </m:r>
                        <m:sSub>
                          <m:sSubPr>
                            <m:ctrlPr>
                              <w:rPr>
                                <w:rFonts w:ascii="Cambria Math" w:hAnsi="Cambria Math"/>
                                <w:i/>
                                <w:iCs/>
                                <w:color w:val="000000" w:themeColor="text1"/>
                                <w:kern w:val="0"/>
                                <w:sz w:val="24"/>
                                <w:lang w:bidi="ar"/>
                                <w14:textFill>
                                  <w14:solidFill>
                                    <w14:schemeClr w14:val="tx1"/>
                                  </w14:solidFill>
                                </w14:textFill>
                              </w:rPr>
                            </m:ctrlPr>
                          </m:sSubPr>
                          <m:e>
                            <m:r>
                              <m:rPr/>
                              <w:rPr>
                                <w:rFonts w:ascii="Cambria Math" w:hAnsi="Cambria Math"/>
                                <w:color w:val="000000" w:themeColor="text1"/>
                                <w:kern w:val="0"/>
                                <w:sz w:val="24"/>
                                <w:lang w:bidi="ar"/>
                                <w14:textFill>
                                  <w14:solidFill>
                                    <w14:schemeClr w14:val="tx1"/>
                                  </w14:solidFill>
                                </w14:textFill>
                              </w:rPr>
                              <m:t>H</m:t>
                            </m:r>
                            <m:ctrlPr>
                              <w:rPr>
                                <w:rFonts w:ascii="Cambria Math" w:hAnsi="Cambria Math"/>
                                <w:i/>
                                <w:iCs/>
                                <w:color w:val="000000" w:themeColor="text1"/>
                                <w:kern w:val="0"/>
                                <w:sz w:val="24"/>
                                <w:lang w:bidi="ar"/>
                                <w14:textFill>
                                  <w14:solidFill>
                                    <w14:schemeClr w14:val="tx1"/>
                                  </w14:solidFill>
                                </w14:textFill>
                              </w:rPr>
                            </m:ctrlPr>
                          </m:e>
                          <m:sub>
                            <m:r>
                              <m:rPr/>
                              <w:rPr>
                                <w:rFonts w:ascii="Cambria Math" w:hAnsi="Cambria Math"/>
                                <w:color w:val="000000" w:themeColor="text1"/>
                                <w:kern w:val="0"/>
                                <w:sz w:val="24"/>
                                <w:lang w:bidi="ar"/>
                                <w14:textFill>
                                  <w14:solidFill>
                                    <w14:schemeClr w14:val="tx1"/>
                                  </w14:solidFill>
                                </w14:textFill>
                              </w:rPr>
                              <m:t>tissue</m:t>
                            </m:r>
                            <m:ctrlPr>
                              <w:rPr>
                                <w:rFonts w:ascii="Cambria Math" w:hAnsi="Cambria Math"/>
                                <w:i/>
                                <w:iCs/>
                                <w:color w:val="000000" w:themeColor="text1"/>
                                <w:kern w:val="0"/>
                                <w:sz w:val="24"/>
                                <w:lang w:bidi="ar"/>
                                <w14:textFill>
                                  <w14:solidFill>
                                    <w14:schemeClr w14:val="tx1"/>
                                  </w14:solidFill>
                                </w14:textFill>
                              </w:rPr>
                            </m:ctrlPr>
                          </m:sub>
                        </m:sSub>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ctrlPr>
                          <w:rPr>
                            <w:rFonts w:ascii="Cambria Math" w:hAnsi="Cambria Math"/>
                            <w:i/>
                            <w:iCs/>
                            <w:color w:val="000000" w:themeColor="text1"/>
                            <w:kern w:val="0"/>
                            <w:sz w:val="24"/>
                            <w:lang w:bidi="ar"/>
                            <w14:textFill>
                              <w14:solidFill>
                                <w14:schemeClr w14:val="tx1"/>
                              </w14:solidFill>
                            </w14:textFill>
                          </w:rPr>
                        </m:ctrlPr>
                      </m:e>
                    </m:mr>
                    <m:mr>
                      <m:e>
                        <m:r>
                          <m:rPr/>
                          <w:rPr>
                            <w:rFonts w:ascii="Cambria Math" w:hAnsi="Cambria Math"/>
                            <w:color w:val="000000" w:themeColor="text1"/>
                            <w:kern w:val="0"/>
                            <w:sz w:val="24"/>
                            <w:lang w:bidi="ar"/>
                            <w14:textFill>
                              <w14:solidFill>
                                <w14:schemeClr w14:val="tx1"/>
                              </w14:solidFill>
                            </w14:textFill>
                          </w:rPr>
                          <m:t>Audio</m:t>
                        </m:r>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ctrlPr>
                          <w:rPr>
                            <w:rFonts w:ascii="Cambria Math" w:hAnsi="Cambria Math"/>
                            <w:i/>
                            <w:iCs/>
                            <w:color w:val="000000" w:themeColor="text1"/>
                            <w:kern w:val="0"/>
                            <w:sz w:val="24"/>
                            <w:lang w:bidi="ar"/>
                            <w14:textFill>
                              <w14:solidFill>
                                <w14:schemeClr w14:val="tx1"/>
                              </w14:solidFill>
                            </w14:textFill>
                          </w:rPr>
                        </m:ctrlPr>
                      </m:e>
                      <m:e>
                        <m:r>
                          <m:rPr/>
                          <w:rPr>
                            <w:rFonts w:ascii="Cambria Math" w:hAnsi="Cambria Math"/>
                            <w:color w:val="000000" w:themeColor="text1"/>
                            <w:kern w:val="0"/>
                            <w:sz w:val="24"/>
                            <w:lang w:bidi="ar"/>
                            <w14:textFill>
                              <w14:solidFill>
                                <w14:schemeClr w14:val="tx1"/>
                              </w14:solidFill>
                            </w14:textFill>
                          </w:rPr>
                          <m:t>≈</m:t>
                        </m:r>
                        <m:ctrlPr>
                          <w:rPr>
                            <w:rFonts w:ascii="Cambria Math" w:hAnsi="Cambria Math"/>
                            <w:i/>
                            <w:iCs/>
                            <w:color w:val="000000" w:themeColor="text1"/>
                            <w:kern w:val="0"/>
                            <w:sz w:val="24"/>
                            <w:lang w:bidi="ar"/>
                            <w14:textFill>
                              <w14:solidFill>
                                <w14:schemeClr w14:val="tx1"/>
                              </w14:solidFill>
                            </w14:textFill>
                          </w:rPr>
                        </m:ctrlPr>
                      </m:e>
                      <m:e>
                        <m:r>
                          <m:rPr/>
                          <w:rPr>
                            <w:rFonts w:ascii="Cambria Math" w:hAnsi="Cambria Math"/>
                            <w:color w:val="000000" w:themeColor="text1"/>
                            <w:kern w:val="0"/>
                            <w:sz w:val="24"/>
                            <w:lang w:bidi="ar"/>
                            <w14:textFill>
                              <w14:solidFill>
                                <w14:schemeClr w14:val="tx1"/>
                              </w14:solidFill>
                            </w14:textFill>
                          </w:rPr>
                          <m:t>S</m:t>
                        </m:r>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r>
                          <m:rPr/>
                          <w:rPr>
                            <w:rFonts w:ascii="Cambria Math" w:hAnsi="Cambria Math"/>
                            <w:color w:val="000000" w:themeColor="text1"/>
                            <w:kern w:val="0"/>
                            <w:sz w:val="24"/>
                            <w:lang w:bidi="ar"/>
                            <w14:textFill>
                              <w14:solidFill>
                                <w14:schemeClr w14:val="tx1"/>
                              </w14:solidFill>
                            </w14:textFill>
                          </w:rPr>
                          <m:t>∗</m:t>
                        </m:r>
                        <m:sSub>
                          <m:sSubPr>
                            <m:ctrlPr>
                              <w:rPr>
                                <w:rFonts w:ascii="Cambria Math" w:hAnsi="Cambria Math"/>
                                <w:i/>
                                <w:iCs/>
                                <w:color w:val="000000" w:themeColor="text1"/>
                                <w:kern w:val="0"/>
                                <w:sz w:val="24"/>
                                <w:lang w:bidi="ar"/>
                                <w14:textFill>
                                  <w14:solidFill>
                                    <w14:schemeClr w14:val="tx1"/>
                                  </w14:solidFill>
                                </w14:textFill>
                              </w:rPr>
                            </m:ctrlPr>
                          </m:sSubPr>
                          <m:e>
                            <m:r>
                              <m:rPr/>
                              <w:rPr>
                                <w:rFonts w:ascii="Cambria Math" w:hAnsi="Cambria Math"/>
                                <w:color w:val="000000" w:themeColor="text1"/>
                                <w:kern w:val="0"/>
                                <w:sz w:val="24"/>
                                <w:lang w:bidi="ar"/>
                                <w14:textFill>
                                  <w14:solidFill>
                                    <w14:schemeClr w14:val="tx1"/>
                                  </w14:solidFill>
                                </w14:textFill>
                              </w:rPr>
                              <m:t>H</m:t>
                            </m:r>
                            <m:ctrlPr>
                              <w:rPr>
                                <w:rFonts w:ascii="Cambria Math" w:hAnsi="Cambria Math"/>
                                <w:i/>
                                <w:iCs/>
                                <w:color w:val="000000" w:themeColor="text1"/>
                                <w:kern w:val="0"/>
                                <w:sz w:val="24"/>
                                <w:lang w:bidi="ar"/>
                                <w14:textFill>
                                  <w14:solidFill>
                                    <w14:schemeClr w14:val="tx1"/>
                                  </w14:solidFill>
                                </w14:textFill>
                              </w:rPr>
                            </m:ctrlPr>
                          </m:e>
                          <m:sub>
                            <m:r>
                              <m:rPr/>
                              <w:rPr>
                                <w:rFonts w:ascii="Cambria Math" w:hAnsi="Cambria Math"/>
                                <w:color w:val="000000" w:themeColor="text1"/>
                                <w:kern w:val="0"/>
                                <w:sz w:val="24"/>
                                <w:lang w:bidi="ar"/>
                                <w14:textFill>
                                  <w14:solidFill>
                                    <w14:schemeClr w14:val="tx1"/>
                                  </w14:solidFill>
                                </w14:textFill>
                              </w:rPr>
                              <m:t>air</m:t>
                            </m:r>
                            <m:ctrlPr>
                              <w:rPr>
                                <w:rFonts w:ascii="Cambria Math" w:hAnsi="Cambria Math"/>
                                <w:i/>
                                <w:iCs/>
                                <w:color w:val="000000" w:themeColor="text1"/>
                                <w:kern w:val="0"/>
                                <w:sz w:val="24"/>
                                <w:lang w:bidi="ar"/>
                                <w14:textFill>
                                  <w14:solidFill>
                                    <w14:schemeClr w14:val="tx1"/>
                                  </w14:solidFill>
                                </w14:textFill>
                              </w:rPr>
                            </m:ctrlPr>
                          </m:sub>
                        </m:sSub>
                        <m:d>
                          <m:dPr>
                            <m:ctrlPr>
                              <w:rPr>
                                <w:rFonts w:ascii="Cambria Math" w:hAnsi="Cambria Math"/>
                                <w:i/>
                                <w:iCs/>
                                <w:color w:val="000000" w:themeColor="text1"/>
                                <w:kern w:val="0"/>
                                <w:sz w:val="24"/>
                                <w:lang w:bidi="ar"/>
                                <w14:textFill>
                                  <w14:solidFill>
                                    <w14:schemeClr w14:val="tx1"/>
                                  </w14:solidFill>
                                </w14:textFill>
                              </w:rPr>
                            </m:ctrlPr>
                          </m:dPr>
                          <m:e>
                            <m:r>
                              <m:rPr/>
                              <w:rPr>
                                <w:rFonts w:ascii="Cambria Math" w:hAnsi="Cambria Math"/>
                                <w:color w:val="000000" w:themeColor="text1"/>
                                <w:kern w:val="0"/>
                                <w:sz w:val="24"/>
                                <w:lang w:bidi="ar"/>
                                <w14:textFill>
                                  <w14:solidFill>
                                    <w14:schemeClr w14:val="tx1"/>
                                  </w14:solidFill>
                                </w14:textFill>
                              </w:rPr>
                              <m:t>t</m:t>
                            </m:r>
                            <m:ctrlPr>
                              <w:rPr>
                                <w:rFonts w:ascii="Cambria Math" w:hAnsi="Cambria Math"/>
                                <w:i/>
                                <w:iCs/>
                                <w:color w:val="000000" w:themeColor="text1"/>
                                <w:kern w:val="0"/>
                                <w:sz w:val="24"/>
                                <w:lang w:bidi="ar"/>
                                <w14:textFill>
                                  <w14:solidFill>
                                    <w14:schemeClr w14:val="tx1"/>
                                  </w14:solidFill>
                                </w14:textFill>
                              </w:rPr>
                            </m:ctrlPr>
                          </m:e>
                        </m:d>
                        <m:ctrlPr>
                          <w:rPr>
                            <w:rFonts w:ascii="Cambria Math" w:hAnsi="Cambria Math"/>
                            <w:i/>
                            <w:iCs/>
                            <w:color w:val="000000" w:themeColor="text1"/>
                            <w:kern w:val="0"/>
                            <w:sz w:val="24"/>
                            <w:lang w:bidi="ar"/>
                            <w14:textFill>
                              <w14:solidFill>
                                <w14:schemeClr w14:val="tx1"/>
                              </w14:solidFill>
                            </w14:textFill>
                          </w:rPr>
                        </m:ctrlPr>
                      </m:e>
                    </m:mr>
                  </m:m>
                  <m:ctrlPr>
                    <w:rPr>
                      <w:rFonts w:ascii="Cambria Math" w:hAnsi="Cambria Math"/>
                      <w:i/>
                      <w:iCs/>
                      <w:color w:val="000000" w:themeColor="text1"/>
                      <w:kern w:val="0"/>
                      <w:sz w:val="24"/>
                      <w:lang w:bidi="ar"/>
                      <w14:textFill>
                        <w14:solidFill>
                          <w14:schemeClr w14:val="tx1"/>
                        </w14:solidFill>
                      </w14:textFill>
                    </w:rPr>
                  </m:ctrlPr>
                </m:e>
              </m:d>
            </m:oMath>
            <w:r>
              <w:rPr>
                <w:color w:val="000000" w:themeColor="text1"/>
                <w:kern w:val="0"/>
                <w:sz w:val="24"/>
                <w:lang w:bidi="ar"/>
                <w14:textFill>
                  <w14:solidFill>
                    <w14:schemeClr w14:val="tx1"/>
                  </w14:solidFill>
                </w14:textFill>
              </w:rPr>
              <w:t xml:space="preserve"> </w:t>
            </w:r>
            <w:r>
              <w:rPr>
                <w:color w:val="000000" w:themeColor="text1"/>
                <w:sz w:val="24"/>
                <w14:textFill>
                  <w14:solidFill>
                    <w14:schemeClr w14:val="tx1"/>
                  </w14:solidFill>
                </w14:textFill>
              </w:rPr>
              <w:t>(4-1)</w:t>
            </w:r>
          </w:p>
          <w:p w14:paraId="6F68AA32">
            <w:pPr>
              <w:widowControl/>
              <w:spacing w:line="360" w:lineRule="auto"/>
              <w:ind w:firstLine="42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体传导信号的特性与空气传导的语音信号既有联系又有区别。它对低频信号的传导效率更高，且不易受环境噪声的直接干扰，但高频细节损失严重。重要的是，这种传导过程受到个体颅骨结构、肌肉组织和脂肪分布的深刻影响，因此，同一段语音内容，不同用户产生的骨传导振动信号在细节上会存在显著差异，这使其具备了成为一种生物特征的潜力。</w:t>
            </w:r>
          </w:p>
          <w:p w14:paraId="3DEB0424">
            <w:pPr>
              <w:widowControl/>
              <w:spacing w:line="360" w:lineRule="auto"/>
              <w:ind w:firstLine="480" w:firstLineChars="200"/>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为了验证实际VR场景下的用户发声面部动态响应情况，本文进行了一个实验。通过佩戴VR头显，让用户发出一段文字“东南大学研究生会”，通过短时傅里叶变换进行频谱分析，发现语音信号和骨传导振动信号频谱图有相似波形，在发声阶段有明显响应。</w:t>
            </w:r>
          </w:p>
          <w:p w14:paraId="4854D162">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626735" cy="2884170"/>
                  <wp:effectExtent l="12700" t="12700" r="12065" b="11430"/>
                  <wp:docPr id="248973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73520" name="图片 1"/>
                          <pic:cNvPicPr>
                            <a:picLocks noChangeAspect="1"/>
                          </pic:cNvPicPr>
                        </pic:nvPicPr>
                        <pic:blipFill>
                          <a:blip r:embed="rId7"/>
                          <a:stretch>
                            <a:fillRect/>
                          </a:stretch>
                        </pic:blipFill>
                        <pic:spPr>
                          <a:xfrm>
                            <a:off x="0" y="0"/>
                            <a:ext cx="5652774" cy="2897941"/>
                          </a:xfrm>
                          <a:prstGeom prst="rect">
                            <a:avLst/>
                          </a:prstGeom>
                          <a:ln>
                            <a:solidFill>
                              <a:sysClr val="windowText" lastClr="000000"/>
                            </a:solidFill>
                          </a:ln>
                        </pic:spPr>
                      </pic:pic>
                    </a:graphicData>
                  </a:graphic>
                </wp:inline>
              </w:drawing>
            </w:r>
          </w:p>
          <w:p w14:paraId="789BBDF9">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3：发声区间三轴有明显响应</w:t>
            </w:r>
          </w:p>
          <w:p w14:paraId="0D0EEB60">
            <w:pPr>
              <w:widowControl/>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由于VR场景是3D动态的头部响应，如图4所示，加速计有三轴数据均会响应，为了确定我们加速计数据的主导轴以及可能的融合方法，计算各轴Hilbert包络与音频包络的Pearson相关系数，以及语音段/静默段标准差之比。</w:t>
            </w:r>
            <w:r>
              <w:rPr>
                <w:rFonts w:hint="eastAsia"/>
                <w:color w:val="000000" w:themeColor="text1"/>
                <w:sz w:val="24"/>
                <w14:textFill>
                  <w14:solidFill>
                    <w14:schemeClr w14:val="tx1"/>
                  </w14:solidFill>
                </w14:textFill>
              </w:rPr>
              <w:t>如表1，</w:t>
            </w:r>
            <w:r>
              <w:rPr>
                <w:color w:val="000000" w:themeColor="text1"/>
                <w:sz w:val="24"/>
                <w14:textFill>
                  <w14:solidFill>
                    <w14:schemeClr w14:val="tx1"/>
                  </w14:solidFill>
                </w14:textFill>
              </w:rPr>
              <w:t>y轴（法向轴，承载重力主分量 9.68 m/s²）是骨传导信号最强的轴，甚至优于于合加速度 |a|，因此，本研究选择y轴作为加速度主导轴。</w:t>
            </w:r>
          </w:p>
          <w:p w14:paraId="307B5A2A">
            <w:pPr>
              <w:widowControl/>
              <w:spacing w:line="360" w:lineRule="auto"/>
              <w:ind w:firstLine="480" w:firstLineChars="20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表</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1：相关性验证</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8"/>
              <w:gridCol w:w="1908"/>
              <w:gridCol w:w="1893"/>
              <w:gridCol w:w="1893"/>
              <w:gridCol w:w="1894"/>
            </w:tblGrid>
            <w:tr w14:paraId="0BE01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073EBD7A">
                  <w:pPr>
                    <w:widowControl/>
                    <w:spacing w:line="360" w:lineRule="auto"/>
                    <w:jc w:val="center"/>
                    <w:rPr>
                      <w:color w:val="000000" w:themeColor="text1"/>
                      <w:sz w:val="24"/>
                      <w14:textFill>
                        <w14:solidFill>
                          <w14:schemeClr w14:val="tx1"/>
                        </w14:solidFill>
                      </w14:textFill>
                    </w:rPr>
                  </w:pPr>
                </w:p>
              </w:tc>
              <w:tc>
                <w:tcPr>
                  <w:tcW w:w="1925" w:type="dxa"/>
                </w:tcPr>
                <w:p w14:paraId="0CF797FD">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x</w:t>
                  </w:r>
                </w:p>
              </w:tc>
              <w:tc>
                <w:tcPr>
                  <w:tcW w:w="1925" w:type="dxa"/>
                </w:tcPr>
                <w:p w14:paraId="118E6DE6">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y</w:t>
                  </w:r>
                </w:p>
              </w:tc>
              <w:tc>
                <w:tcPr>
                  <w:tcW w:w="1925" w:type="dxa"/>
                </w:tcPr>
                <w:p w14:paraId="201AD1BF">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z</w:t>
                  </w:r>
                </w:p>
              </w:tc>
              <w:tc>
                <w:tcPr>
                  <w:tcW w:w="1925" w:type="dxa"/>
                </w:tcPr>
                <w:p w14:paraId="3FED40E9">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|a|</w:t>
                  </w:r>
                </w:p>
              </w:tc>
            </w:tr>
            <w:tr w14:paraId="3D77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2DFEA4DD">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Speech/Silence Ratio</w:t>
                  </w:r>
                </w:p>
              </w:tc>
              <w:tc>
                <w:tcPr>
                  <w:tcW w:w="1925" w:type="dxa"/>
                </w:tcPr>
                <w:p w14:paraId="1D0785C2">
                  <w:pPr>
                    <w:widowControl/>
                    <w:spacing w:line="360" w:lineRule="auto"/>
                    <w:ind w:firstLine="565"/>
                    <w:rPr>
                      <w:color w:val="000000" w:themeColor="text1"/>
                      <w:sz w:val="24"/>
                      <w14:textFill>
                        <w14:solidFill>
                          <w14:schemeClr w14:val="tx1"/>
                        </w14:solidFill>
                      </w14:textFill>
                    </w:rPr>
                  </w:pPr>
                  <w:r>
                    <w:rPr>
                      <w:color w:val="000000" w:themeColor="text1"/>
                      <w:sz w:val="24"/>
                      <w14:textFill>
                        <w14:solidFill>
                          <w14:schemeClr w14:val="tx1"/>
                        </w14:solidFill>
                      </w14:textFill>
                    </w:rPr>
                    <w:t>1.62x</w:t>
                  </w:r>
                </w:p>
              </w:tc>
              <w:tc>
                <w:tcPr>
                  <w:tcW w:w="1925" w:type="dxa"/>
                </w:tcPr>
                <w:p w14:paraId="44A3244A">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3.67x</w:t>
                  </w:r>
                </w:p>
              </w:tc>
              <w:tc>
                <w:tcPr>
                  <w:tcW w:w="1925" w:type="dxa"/>
                </w:tcPr>
                <w:p w14:paraId="41B4094B">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1.64x</w:t>
                  </w:r>
                </w:p>
              </w:tc>
              <w:tc>
                <w:tcPr>
                  <w:tcW w:w="1925" w:type="dxa"/>
                </w:tcPr>
                <w:p w14:paraId="32D556FE">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2.92x</w:t>
                  </w:r>
                </w:p>
              </w:tc>
            </w:tr>
            <w:tr w14:paraId="7DB1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5" w:type="dxa"/>
                </w:tcPr>
                <w:p w14:paraId="1C0BF796">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音频包络相关性</w:t>
                  </w:r>
                </w:p>
              </w:tc>
              <w:tc>
                <w:tcPr>
                  <w:tcW w:w="1925" w:type="dxa"/>
                </w:tcPr>
                <w:p w14:paraId="1225EA3F">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-0.1</w:t>
                  </w:r>
                </w:p>
              </w:tc>
              <w:tc>
                <w:tcPr>
                  <w:tcW w:w="1925" w:type="dxa"/>
                </w:tcPr>
                <w:p w14:paraId="53982191">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0.29</w:t>
                  </w:r>
                </w:p>
              </w:tc>
              <w:tc>
                <w:tcPr>
                  <w:tcW w:w="1925" w:type="dxa"/>
                </w:tcPr>
                <w:p w14:paraId="0E4C97BD">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-0.07</w:t>
                  </w:r>
                </w:p>
              </w:tc>
              <w:tc>
                <w:tcPr>
                  <w:tcW w:w="1925" w:type="dxa"/>
                </w:tcPr>
                <w:p w14:paraId="2B65DBE4">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0.18</w:t>
                  </w:r>
                </w:p>
              </w:tc>
            </w:tr>
          </w:tbl>
          <w:p w14:paraId="75253BFD">
            <w:pPr>
              <w:widowControl/>
              <w:spacing w:line="360" w:lineRule="auto"/>
              <w:ind w:firstLine="480" w:firstLineChars="200"/>
              <w:rPr>
                <w:rFonts w:hint="eastAsia"/>
                <w:color w:val="000000" w:themeColor="text1"/>
                <w:sz w:val="24"/>
                <w14:textFill>
                  <w14:solidFill>
                    <w14:schemeClr w14:val="tx1"/>
                  </w14:solidFill>
                </w14:textFill>
              </w:rPr>
            </w:pPr>
          </w:p>
          <w:p w14:paraId="22853C83">
            <w:pPr>
              <w:widowControl/>
              <w:spacing w:line="360" w:lineRule="auto"/>
              <w:jc w:val="center"/>
              <w:rPr>
                <w:color w:val="000000" w:themeColor="text1"/>
                <w:sz w:val="24"/>
                <w14:textFill>
                  <w14:solidFill>
                    <w14:schemeClr w14:val="tx1"/>
                  </w14:solidFill>
                </w14:textFill>
              </w:rPr>
            </w:pPr>
            <w:r>
              <w:rPr>
                <w:color w:val="000000" w:themeColor="text1"/>
                <w14:textFill>
                  <w14:solidFill>
                    <w14:schemeClr w14:val="tx1"/>
                  </w14:solidFill>
                </w14:textFill>
              </w:rPr>
              <w:drawing>
                <wp:inline distT="0" distB="0" distL="114300" distR="114300">
                  <wp:extent cx="5914390" cy="2957195"/>
                  <wp:effectExtent l="12700" t="12700" r="16510" b="14605"/>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8"/>
                          <a:stretch>
                            <a:fillRect/>
                          </a:stretch>
                        </pic:blipFill>
                        <pic:spPr>
                          <a:xfrm>
                            <a:off x="0" y="0"/>
                            <a:ext cx="5914390" cy="2957195"/>
                          </a:xfrm>
                          <a:prstGeom prst="rect">
                            <a:avLst/>
                          </a:prstGeom>
                          <a:noFill/>
                          <a:ln w="3175">
                            <a:solidFill>
                              <a:schemeClr val="tx1"/>
                            </a:solidFill>
                          </a:ln>
                        </pic:spPr>
                      </pic:pic>
                    </a:graphicData>
                  </a:graphic>
                </wp:inline>
              </w:drawing>
            </w:r>
          </w:p>
          <w:p w14:paraId="51F38572">
            <w:pPr>
              <w:widowControl/>
              <w:spacing w:line="360" w:lineRule="auto"/>
              <w:ind w:firstLine="420"/>
              <w:jc w:val="center"/>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4：加速度三轴及融合轴STFT图与语音MEL频谱图</w:t>
            </w:r>
          </w:p>
          <w:p w14:paraId="3CC9AD40">
            <w:pPr>
              <w:widowControl/>
              <w:spacing w:line="360" w:lineRule="auto"/>
              <w:jc w:val="left"/>
              <w:rPr>
                <w:color w:val="000000" w:themeColor="text1"/>
                <w:kern w:val="0"/>
                <w:sz w:val="24"/>
                <w:lang w:bidi="ar"/>
                <w14:textFill>
                  <w14:solidFill>
                    <w14:schemeClr w14:val="tx1"/>
                  </w14:solidFill>
                </w14:textFill>
              </w:rPr>
            </w:pPr>
            <w:r>
              <w:rPr>
                <w:color w:val="000000" w:themeColor="text1"/>
                <w:kern w:val="0"/>
                <w:sz w:val="24"/>
                <w:lang w:bidi="ar"/>
                <w14:textFill>
                  <w14:solidFill>
                    <w14:schemeClr w14:val="tx1"/>
                  </w14:solidFill>
                </w14:textFill>
              </w:rPr>
              <w:t>4.1.3 数据采集与预处理。</w:t>
            </w:r>
          </w:p>
          <w:p w14:paraId="0EC91CC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本研究采用多模态传感器特征融合策略，基于HTC VIVE</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PRO头显，使用HTC VIVE官方SDK</w:t>
            </w:r>
            <w:r>
              <w:rPr>
                <w:rFonts w:hint="eastAsia"/>
                <w:color w:val="000000" w:themeColor="text1"/>
                <w:sz w:val="24"/>
                <w14:textFill>
                  <w14:solidFill>
                    <w14:schemeClr w14:val="tx1"/>
                  </w14:solidFill>
                </w14:textFill>
              </w:rPr>
              <w:t>开发了一个应用程序</w:t>
            </w:r>
            <w:r>
              <w:rPr>
                <w:color w:val="000000" w:themeColor="text1"/>
                <w:sz w:val="24"/>
                <w14:textFill>
                  <w14:solidFill>
                    <w14:schemeClr w14:val="tx1"/>
                  </w14:solidFill>
                </w14:textFill>
              </w:rPr>
              <w:t>，同步采集1000Hz加速度计信号和48000Hz麦克风音频信号。采集到数据后，进行数据预处理流程，主要包括去除头部运动、语音活动检测、时序对齐与发声切片、时频转化与归一化处理。</w:t>
            </w:r>
          </w:p>
          <w:p w14:paraId="25387A1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头部运动信号去除：我们的目的是得到较为纯粹的面部振动信号，即使用户在发声时身体是相对静止的，还是会存在头部的</w:t>
            </w:r>
            <w:r>
              <w:rPr>
                <w:color w:val="000000" w:themeColor="text1"/>
                <w:kern w:val="0"/>
                <w:sz w:val="24"/>
                <w:lang w:bidi="ar"/>
                <w14:textFill>
                  <w14:solidFill>
                    <w14:schemeClr w14:val="tx1"/>
                  </w14:solidFill>
                </w14:textFill>
              </w:rPr>
              <w:t>微小动作。人在</w:t>
            </w:r>
            <w:r>
              <w:rPr>
                <w:rFonts w:hint="eastAsia"/>
                <w:color w:val="000000" w:themeColor="text1"/>
                <w:kern w:val="0"/>
                <w:sz w:val="24"/>
                <w:lang w:bidi="ar"/>
                <w14:textFill>
                  <w14:solidFill>
                    <w14:schemeClr w14:val="tx1"/>
                  </w14:solidFill>
                </w14:textFill>
              </w:rPr>
              <w:t>静止状</w:t>
            </w:r>
            <w:r>
              <w:rPr>
                <w:color w:val="000000" w:themeColor="text1"/>
                <w:kern w:val="0"/>
                <w:sz w:val="24"/>
                <w:lang w:bidi="ar"/>
                <w14:textFill>
                  <w14:solidFill>
                    <w14:schemeClr w14:val="tx1"/>
                  </w14:solidFill>
                </w14:textFill>
              </w:rPr>
              <w:t>态下的头部微小运动一般在20hz以下[40]。</w:t>
            </w:r>
            <w:r>
              <w:rPr>
                <w:color w:val="000000" w:themeColor="text1"/>
                <w:sz w:val="24"/>
                <w14:textFill>
                  <w14:solidFill>
                    <w14:schemeClr w14:val="tx1"/>
                  </w14:solidFill>
                </w14:textFill>
              </w:rPr>
              <w:t>本阶段通过提取加速度计的 Y 轴数据并进行中心化处理以消除重力矢量与传感器偏置，对加速度信号施加20–500 Hz 的带通滤波，这一频段已被多项研究证实与语音诱发的面部振动密切相关[</w:t>
            </w:r>
            <w:r>
              <w:rPr>
                <w:rFonts w:hint="eastAsia"/>
                <w:color w:val="000000" w:themeColor="text1"/>
                <w:sz w:val="24"/>
                <w14:textFill>
                  <w14:solidFill>
                    <w14:schemeClr w14:val="tx1"/>
                  </w14:solidFill>
                </w14:textFill>
              </w:rPr>
              <w:t>27</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35</w:t>
            </w:r>
            <w:r>
              <w:rPr>
                <w:color w:val="000000" w:themeColor="text1"/>
                <w:sz w:val="24"/>
                <w14:textFill>
                  <w14:solidFill>
                    <w14:schemeClr w14:val="tx1"/>
                  </w14:solidFill>
                </w14:textFill>
              </w:rPr>
              <w:t>]，最后配合 Tukey 窗处理以消除边界效应并防止频谱泄露，从而获得高信噪比的轴向骨传导原始信号。</w:t>
            </w:r>
          </w:p>
          <w:p w14:paraId="073B23F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音频辅助语音活动检测（Voice Activity Detection, VAD）：为了在低信噪比的 ACC 信号中精准定位发声段，本研究利用高采样率音频信号的 RMS（Root Mean Square, 均方根）能量进行辅助检测，通过设定动态阈值自动适配不同用户的发声强度，并执行严格的噪声抑制与静音空隙合并策略，确保提取出的生物特征数据具有高度的稳定性和连续性。</w:t>
            </w:r>
          </w:p>
          <w:p w14:paraId="7A26899D">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时序对齐与中心对称截取：本研究以 VAD 检测到的发声中心点为基准，向前后对称扩展以截取定长数据段，通过采样率比例将音频窗口与 ACC 序列进行精确同步，从而满足 CycleGAN 模型对输入张量尺寸一致性的严格要求，为跨模态映射奠定物理对齐基础。</w:t>
            </w:r>
          </w:p>
          <w:p w14:paraId="265AFF17">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ACC 时频域表征转换：一维加速度序列通过短时傅里叶变化STFT][6]转换为二维图像表征，并通过对数压缩与百分位归一化将幅值映射至 [-1, 1] 区间，使其转化为适合卷积神经网络提取深层语义特征的频谱图。</w:t>
            </w:r>
          </w:p>
          <w:p w14:paraId="13FD3DA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音频梅尔频谱特征提取与维度统一：针对目标模态，MEL频谱能够更好地捕捉语音的感知特征[7]。因此，系统提取 80 阶 Mel 频谱以符合人类听觉特性及骨传导转换目标，通过调整帧移与频率范围确保音频特征在时间与频率维度上与 ACC 特征完全匹配，最终输出形状一致的归一化张量，为后续基于重建误差与对比学习的身份认证模型提供高质量输入。</w:t>
            </w:r>
          </w:p>
          <w:p w14:paraId="6BE10637">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4.1.</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 xml:space="preserve"> 基于CycleGAN的模态转化</w:t>
            </w:r>
          </w:p>
          <w:p w14:paraId="39AE5EC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 VR 场景中，零权限加速度计捕捉到的骨传导语音信号虽然具备极高的隐蔽性与抗噪性，但相比于空气传导的音频信号，其在高频谐波和语音细节上存在天然的模态缺失。本研究旨在构建一个高保真的非配对跨模态转化网络，利用 CycleGAN 的循环一致性特点，将稀疏的 ACC 频谱图映射为富含语义的 Audio 频谱图，并实现逆向重建。该模块不仅是模态转化的生成器，更是下游身份认证系统的特征挖掘，其瓶颈层表征与循环重建残差可作为后续身份认证的核心特征。</w:t>
            </w:r>
          </w:p>
          <w:p w14:paraId="65178FB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（1）模型选择</w:t>
            </w:r>
          </w:p>
          <w:p w14:paraId="5945CAE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尽管输入数据是同步采集的配对数据，但选择CycleGAN并非仅因其无监督特性，而是对于其双向映射和循环一致性约束所带来的独特优势的考量。</w:t>
            </w:r>
          </w:p>
          <w:p w14:paraId="51E3D8A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双向建模能力: CycleGAN包含两个生成器，能够同时学习从音频到ACC、以及从ACC到音频的双向映射关系。这对于全面理解两种模态间的复杂耦合机制至关重要。以及，在实际的认证场景中，本研究不希望使用语音模态的数据，由于其极易受攻击的特性，在认证过程中仅使用加速计模态的数据，语音的信息被隐式的编码在模型中。</w:t>
            </w:r>
          </w:p>
          <w:p w14:paraId="20C6BEA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结构保持与细节增强: 循环一致性损失强制要求 ACC → Audio → ACC和 Audio → ACC → Audio 的转换路径能够重建回原始输入。这一强约束不仅保证了转换过程的信息完整性，还有效防止了模式崩溃，确保生成的跨模态数据在结构上与源域高度一致。</w:t>
            </w:r>
          </w:p>
          <w:p w14:paraId="2847DEB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可扩展的损失函数: CycleGAN提供了一个灵活的损失函数框架，允许我们在其基础上无缝集成多种针对性的正则化项如特征匹配损失、频率感知损失等，以引导模型关注对身份认证至关重要的物理特性和语义细节。</w:t>
            </w:r>
          </w:p>
          <w:p w14:paraId="0842D05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综上，结合ACC和Audio两个模态的特性以及身份认证任务，本研究跨模态转化系统由生成器、判别器和复合损失函数共同构成。</w:t>
            </w:r>
          </w:p>
          <w:p w14:paraId="4E2D322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（2）模型架构</w:t>
            </w:r>
          </w:p>
          <w:p w14:paraId="1F023C7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本研究对传统的 CycleGAN 架构进行了针对时频信号特性的深度改造，主要包括生成器和判别器架构，以ACC → Audio → ACC为例，其模型主要结构如图5所示。</w:t>
            </w:r>
          </w:p>
          <w:p w14:paraId="095228D7">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生成器(Generators,</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G): 两个生成器均采用基于</w:t>
            </w:r>
            <w:r>
              <w:rPr>
                <w:rFonts w:hint="eastAsia"/>
                <w:color w:val="000000" w:themeColor="text1"/>
                <w:sz w:val="24"/>
                <w14:textFill>
                  <w14:solidFill>
                    <w14:schemeClr w14:val="tx1"/>
                  </w14:solidFill>
                </w14:textFill>
              </w:rPr>
              <w:t>残差网络</w:t>
            </w:r>
            <w:r>
              <w:rPr>
                <w:color w:val="000000" w:themeColor="text1"/>
                <w:sz w:val="24"/>
                <w14:textFill>
                  <w14:solidFill>
                    <w14:schemeClr w14:val="tx1"/>
                  </w14:solidFill>
                </w14:textFill>
              </w:rPr>
              <w:t>ResNet（Residual Network）的编码器-解码器结构。为了捕捉频谱图中沿频率和时间维度的长距离依赖关系如音频中的谐波结构、ACC信号中的周期性运动模式等，我们在网络的瓶颈层引入了轴向注意力机制（Axial Attention）。该机制能分别对频率轴和时间轴进行高效建模，显著提升了生成频谱图的细节保真度和物理合理性。</w:t>
            </w:r>
          </w:p>
          <w:p w14:paraId="0504888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判别器设计(Discriminators,</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D): 为音频域和ACC域设计了多尺度判别器（Multi-Scale Discriminator）架构。由于ACC和Audio模态的物理区别，在复杂的物理模态映射中，生成器极易通过学习特定尺度的伪造模式（例如转置卷积带来的棋盘效应）来欺骗单尺度判别器。而多尺度判别器要求生成信号必须在各个空间分辨率层级上均符合目标域的真实分布，从而为生成器提供了更加严苛、全面且平滑的梯度引导信号，迫使模型学习真实的声振转换规律。通过在不同分辨率层级上对同一图像进行判别，使模型能够同时捕捉从粗粒度语义结构到细粒度高频细节的多层次特征，提升生成数据的物理逼真度与生物特征的捕获。</w:t>
            </w:r>
          </w:p>
          <w:p w14:paraId="300D7A94">
            <w:pPr>
              <w:widowControl/>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591175" cy="3075305"/>
                  <wp:effectExtent l="12700" t="12700" r="9525" b="10795"/>
                  <wp:docPr id="403086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86166" name="图片 1"/>
                          <pic:cNvPicPr>
                            <a:picLocks noChangeAspect="1"/>
                          </pic:cNvPicPr>
                        </pic:nvPicPr>
                        <pic:blipFill>
                          <a:blip r:embed="rId9"/>
                          <a:srcRect t="8405" b="9077"/>
                          <a:stretch>
                            <a:fillRect/>
                          </a:stretch>
                        </pic:blipFill>
                        <pic:spPr>
                          <a:xfrm>
                            <a:off x="0" y="0"/>
                            <a:ext cx="5604305" cy="3082902"/>
                          </a:xfrm>
                          <a:prstGeom prst="rect">
                            <a:avLst/>
                          </a:prstGeom>
                          <a:ln>
                            <a:solidFill>
                              <a:schemeClr val="tx1"/>
                            </a:solidFill>
                          </a:ln>
                        </pic:spPr>
                      </pic:pic>
                    </a:graphicData>
                  </a:graphic>
                </wp:inline>
              </w:drawing>
            </w:r>
          </w:p>
          <w:p w14:paraId="5FB5D166">
            <w:pPr>
              <w:spacing w:line="360" w:lineRule="auto"/>
              <w:ind w:firstLine="420"/>
              <w:jc w:val="center"/>
              <w:rPr>
                <w:rFonts w:hint="eastAsia"/>
                <w:color w:val="000000" w:themeColor="text1"/>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w:t>
            </w:r>
            <w:r>
              <w:rPr>
                <w:color w:val="000000" w:themeColor="text1"/>
                <w:sz w:val="24"/>
                <w14:textFill>
                  <w14:solidFill>
                    <w14:schemeClr w14:val="tx1"/>
                  </w14:solidFill>
                </w14:textFill>
              </w:rPr>
              <w:t>5：C</w:t>
            </w:r>
            <w:r>
              <w:rPr>
                <w:color w:val="000000" w:themeColor="text1"/>
                <w14:textFill>
                  <w14:solidFill>
                    <w14:schemeClr w14:val="tx1"/>
                  </w14:solidFill>
                </w14:textFill>
              </w:rPr>
              <w:t>ycleGAN的结构示意图</w:t>
            </w:r>
          </w:p>
          <w:p w14:paraId="02101FB2">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（3）复合损失函数</w:t>
            </w:r>
          </w:p>
          <w:p w14:paraId="566D558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鉴于本研究采集的ACC与Audio信号在时间轴上有天然的时间物理对齐关系，相比于非配对数据有天然关系。本研究在特征映射网络中提出了一种混合优化策略。传统的 CycleGAN 专为非配对数据设计，除了对抗损失外，仅依赖循环一致性损失和身份映射损失进行弱监督优化。但在虚拟现实骨传导场景下，ACC与Audio在时频特征上的模态鸿沟过大，仅靠无监督循环极易陷入模式崩溃，因此，基于基础对抗与拓扑循环约束损失，依然引入重建损失。并结合两个模态的特征，引入了频率感知约束损失和特征匹配损失。</w:t>
            </w:r>
          </w:p>
          <w:p w14:paraId="1EF049A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对抗损失与梯度惩罚（Adversarial Loss with Gradient Penalty, WGAN-GP）: 本研究在对抗网络的设计上采用了 WGAN-GP 损失，以提供全局平滑的梯度引导。与传统的交叉熵损失相比，WGAN（Wasserstein Generative Adversarial Network）[5]利用 Earth Mover 距离来衡量真实频谱与生成频谱的分布差异，并通过施加梯度惩罚约束判别器的 Lipschitz 连续性。</w:t>
            </w:r>
          </w:p>
          <w:p w14:paraId="36BE92E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在上述对抗框架下，判别器 D的优化目标是最大化真实物理信号与跨模态生成信号在隐层流形上的分布距离。为满足推土机距离的 1-Lipschitz 连续性条件，判别器损失中引入了针对真实数据与生成数据插值样本的梯度惩罚项。具体而言，以音频域判别器</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 xml:space="preserve"> 为例，其损失函数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559D5DD7">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(G(x))]−</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(y)]+</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gp</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acc>
                    <m:accPr>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acc>
                    <m:accPr>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acc>
                <m:accPr>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e>
              </m:acc>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−1</m:t>
              </m:r>
              <m:sSup>
                <m:sSupPr>
                  <m:ctrlPr>
                    <w:rPr>
                      <w:rFonts w:ascii="Cambria Math" w:hAnsi="Cambria Math"/>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p>
              <m:r>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(4-2)</w:t>
            </w:r>
          </w:p>
          <w:p w14:paraId="7AFD7AA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与判别器相抗衡，当固定判别器权重时，生成器G的对抗优化目标则是最小化判别器对合成信号的辨识度，即通过梯度下降驱使生成信号在判别器空间内的得分期望逼近真实信号。其对应的生成器对抗损失</w:t>
            </w: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adv</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定义为：</w:t>
            </w:r>
          </w:p>
          <w:p w14:paraId="397DC5A9">
            <w:pPr>
              <w:spacing w:line="360" w:lineRule="auto"/>
              <w:jc w:val="center"/>
              <w:rPr>
                <w:color w:val="000000" w:themeColor="text1"/>
                <w:sz w:val="24"/>
                <w14:textFill>
                  <w14:solidFill>
                    <w14:schemeClr w14:val="tx1"/>
                  </w14:solidFill>
                </w14:textFill>
              </w:rPr>
            </w:pP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adv</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m:t>
                  </m:r>
                  <m:ctrlPr>
                    <w:rPr>
                      <w:rFonts w:ascii="Cambria Math" w:hAnsi="Cambria Math"/>
                      <w:color w:val="000000" w:themeColor="text1"/>
                      <w:sz w:val="24"/>
                      <w14:textFill>
                        <w14:solidFill>
                          <w14:schemeClr w14:val="tx1"/>
                        </w14:solidFill>
                      </w14:textFill>
                    </w:rPr>
                  </m:ctrlPr>
                </m:sub>
              </m:sSub>
              <m:d>
                <m:dPr>
                  <m:begChr m:val="["/>
                  <m:endChr m:val="]"/>
                  <m:ctrlPr>
                    <w:rPr>
                      <w:rFonts w:ascii="Cambria Math" w:hAnsi="Cambria Math"/>
                      <w:i/>
                      <w:color w:val="000000" w:themeColor="text1"/>
                      <w:sz w:val="24"/>
                      <w14:textFill>
                        <w14:solidFill>
                          <w14:schemeClr w14:val="tx1"/>
                        </w14:solidFill>
                      </w14:textFill>
                    </w:rPr>
                  </m:ctrlPr>
                </m:dPr>
                <m:e>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Sub>
                  <m:d>
                    <m:dPr>
                      <m:ctrlPr>
                        <w:rPr>
                          <w:rFonts w:ascii="Cambria Math" w:hAnsi="Cambria Math"/>
                          <w:i/>
                          <w:color w:val="000000" w:themeColor="text1"/>
                          <w:sz w:val="24"/>
                          <w14:textFill>
                            <w14:solidFill>
                              <w14:schemeClr w14:val="tx1"/>
                            </w14:solidFill>
                          </w14:textFill>
                        </w:rPr>
                      </m:ctrlPr>
                    </m:dPr>
                    <m:e>
                      <m:r>
                        <m:rPr/>
                        <w:rPr>
                          <w:rFonts w:ascii="Cambria Math" w:hAnsi="Cambria Math"/>
                          <w:color w:val="000000" w:themeColor="text1"/>
                          <w:sz w:val="24"/>
                          <w14:textFill>
                            <w14:solidFill>
                              <w14:schemeClr w14:val="tx1"/>
                            </w14:solidFill>
                          </w14:textFill>
                        </w:rPr>
                        <m:t>G</m:t>
                      </m:r>
                      <m:d>
                        <m:dPr>
                          <m:ctrlPr>
                            <w:rPr>
                              <w:rFonts w:ascii="Cambria Math" w:hAnsi="Cambria Math"/>
                              <w:i/>
                              <w:color w:val="000000" w:themeColor="text1"/>
                              <w:sz w:val="24"/>
                              <w14:textFill>
                                <w14:solidFill>
                                  <w14:schemeClr w14:val="tx1"/>
                                </w14:solidFill>
                              </w14:textFill>
                            </w:rPr>
                          </m:ctrlPr>
                        </m:d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d>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sub>
              </m:sSub>
              <m:d>
                <m:dPr>
                  <m:begChr m:val="["/>
                  <m:endChr m:val="]"/>
                  <m:ctrlPr>
                    <w:rPr>
                      <w:rFonts w:ascii="Cambria Math" w:hAnsi="Cambria Math"/>
                      <w:i/>
                      <w:color w:val="000000" w:themeColor="text1"/>
                      <w:sz w:val="24"/>
                      <w14:textFill>
                        <w14:solidFill>
                          <w14:schemeClr w14:val="tx1"/>
                        </w14:solidFill>
                      </w14:textFill>
                    </w:rPr>
                  </m:ctrlPr>
                </m:dPr>
                <m:e>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m:t>
                      </m:r>
                      <m:ctrlPr>
                        <w:rPr>
                          <w:rFonts w:ascii="Cambria Math" w:hAnsi="Cambria Math"/>
                          <w:color w:val="000000" w:themeColor="text1"/>
                          <w:sz w:val="24"/>
                          <w14:textFill>
                            <w14:solidFill>
                              <w14:schemeClr w14:val="tx1"/>
                            </w14:solidFill>
                          </w14:textFill>
                        </w:rPr>
                      </m:ctrlPr>
                    </m:sub>
                  </m:sSub>
                  <m:d>
                    <m:dPr>
                      <m:ctrlPr>
                        <w:rPr>
                          <w:rFonts w:ascii="Cambria Math" w:hAnsi="Cambria Math"/>
                          <w:i/>
                          <w:color w:val="000000" w:themeColor="text1"/>
                          <w:sz w:val="24"/>
                          <w14:textFill>
                            <w14:solidFill>
                              <w14:schemeClr w14:val="tx1"/>
                            </w14:solidFill>
                          </w14:textFill>
                        </w:rPr>
                      </m:ctrlPr>
                    </m:dPr>
                    <m:e>
                      <m:r>
                        <m:rPr/>
                        <w:rPr>
                          <w:rFonts w:ascii="Cambria Math" w:hAnsi="Cambria Math"/>
                          <w:color w:val="000000" w:themeColor="text1"/>
                          <w:sz w:val="24"/>
                          <w14:textFill>
                            <w14:solidFill>
                              <w14:schemeClr w14:val="tx1"/>
                            </w14:solidFill>
                          </w14:textFill>
                        </w:rPr>
                        <m:t>F</m:t>
                      </m:r>
                      <m:d>
                        <m:dPr>
                          <m:ctrlPr>
                            <w:rPr>
                              <w:rFonts w:ascii="Cambria Math" w:hAnsi="Cambria Math"/>
                              <w:i/>
                              <w:color w:val="000000" w:themeColor="text1"/>
                              <w:sz w:val="24"/>
                              <w14:textFill>
                                <w14:solidFill>
                                  <w14:schemeClr w14:val="tx1"/>
                                </w14:solidFill>
                              </w14:textFill>
                            </w:rPr>
                          </m:ctrlPr>
                        </m:d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d>
            </m:oMath>
            <w:r>
              <w:rPr>
                <w:color w:val="000000" w:themeColor="text1"/>
                <w:sz w:val="24"/>
                <w14:textFill>
                  <w14:solidFill>
                    <w14:schemeClr w14:val="tx1"/>
                  </w14:solidFill>
                </w14:textFill>
              </w:rPr>
              <w:t>(4-3)</w:t>
            </w:r>
          </w:p>
          <w:p w14:paraId="5E2E27C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循环一致性损失（Cycle Consistency Loss）: 为了确保双向转换的可逆性和信息完整性，使用标准的循环一致性损失，其损失函数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cyc</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1F0AAB7F">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cyc</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[‖x−F(G(x))</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[‖y−G(F(y))</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(4-4)</w:t>
            </w:r>
          </w:p>
          <w:p w14:paraId="0621104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身份映射损失（Identity Mapping Loss）：身份映射损失是保障跨模态转化过程中本征结构与频带稳定性的一种强正则化约束，是标准CycleGAN的损失之一。其损失函数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id</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5833831D">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id</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[‖y−G(y)</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[‖x−F(x)</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(4-5)</w:t>
            </w:r>
          </w:p>
          <w:p w14:paraId="2E64A5A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重建损失（Reconstruction Loss）：采用 L1 范数计算生成样本与真实样本之间的差异。在跨模态映射初期，它能够强迫生成器快速学习 ACC 到 Audio 的点对点映射关系，建立基础的声学包络结构。其损失函数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rec</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2B2F5915">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rec</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[‖y−G(x)</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+‖x−F(y)</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(4-6)</w:t>
            </w:r>
          </w:p>
          <w:p w14:paraId="2BB627A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多尺度特征匹配损失（Multiscale Feature Matching Loss）: 为了在比像素级 MSE 更深的语义层次上约束重构质量，模型在判别其中融入了特征匹配损失。该损失不仅关注最终的输出频谱，还计算了真实样本与生成样本在多尺度判别器各个中间隐含层激活图之间的 L1 距离。其损失函数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feat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5014DB27">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feat</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f>
                <m:fPr>
                  <m:ctrlPr>
                    <w:rPr>
                      <w:rFonts w:ascii="Cambria Math" w:hAnsi="Cambria Math"/>
                      <w:color w:val="000000" w:themeColor="text1"/>
                      <w:sz w:val="24"/>
                      <w14:textFill>
                        <w14:solidFill>
                          <w14:schemeClr w14:val="tx1"/>
                        </w14:solidFill>
                      </w14:textFill>
                    </w:rPr>
                  </m:ctrlPr>
                </m:fPr>
                <m:num>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num>
                <m:den>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den>
              </m:f>
              <m:nary>
                <m:naryPr>
                  <m:chr m:val="∑"/>
                  <m:limLoc m:val="subSup"/>
                  <m:ctrlPr>
                    <w:rPr>
                      <w:rFonts w:ascii="Cambria Math" w:hAnsi="Cambria Math"/>
                      <w:color w:val="000000" w:themeColor="text1"/>
                      <w:sz w:val="24"/>
                      <w14:textFill>
                        <w14:solidFill>
                          <w14:schemeClr w14:val="tx1"/>
                        </w14:solidFill>
                      </w14:textFill>
                    </w:rPr>
                  </m:ctrlPr>
                </m:naryPr>
                <m:sub>
                  <m:r>
                    <m:rPr/>
                    <w:rPr>
                      <w:rFonts w:ascii="Cambria Math" w:hAnsi="Cambria Math"/>
                      <w:color w:val="000000" w:themeColor="text1"/>
                      <w:sz w:val="24"/>
                      <w14:textFill>
                        <w14:solidFill>
                          <w14:schemeClr w14:val="tx1"/>
                        </w14:solidFill>
                      </w14:textFill>
                    </w:rPr>
                    <m:t>i=1</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sup>
                <m:e>
                  <m:d>
                    <m:dPr>
                      <m:ctrlPr>
                        <w:rPr>
                          <w:rFonts w:ascii="Cambria Math" w:hAnsi="Cambria Math"/>
                          <w:color w:val="000000" w:themeColor="text1"/>
                          <w:sz w:val="24"/>
                          <w14:textFill>
                            <w14:solidFill>
                              <w14:schemeClr w14:val="tx1"/>
                            </w14:solidFill>
                          </w14:textFill>
                        </w:rPr>
                      </m:ctrlPr>
                    </m:dPr>
                    <m:e>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(y)−</m:t>
                      </m:r>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U</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(G(x))</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x,y</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(x)−</m:t>
                      </m:r>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D</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(F(y))</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d>
                  <m:ctrlPr>
                    <w:rPr>
                      <w:rFonts w:ascii="Cambria Math" w:hAnsi="Cambria Math"/>
                      <w:color w:val="000000" w:themeColor="text1"/>
                      <w:sz w:val="24"/>
                      <w14:textFill>
                        <w14:solidFill>
                          <w14:schemeClr w14:val="tx1"/>
                        </w14:solidFill>
                      </w14:textFill>
                    </w:rPr>
                  </m:ctrlPr>
                </m:e>
              </m:nary>
            </m:oMath>
            <w:r>
              <w:rPr>
                <w:color w:val="000000" w:themeColor="text1"/>
                <w:sz w:val="24"/>
                <w14:textFill>
                  <w14:solidFill>
                    <w14:schemeClr w14:val="tx1"/>
                  </w14:solidFill>
                </w14:textFill>
              </w:rPr>
              <w:t>(4-7)</w:t>
            </w:r>
          </w:p>
          <w:p w14:paraId="0E29B2B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频域感知损失（Frequency-Aware Constraint Loss）: 针对ACC信号的物理特性，引入了频率感知损失侧重于低频重建和谱平滑损失抑制不合理的高频振荡，使生成的ACC数据更符合物理规律。在骨传导声学机理中，能反映个体特异性的关键生物特征如头骨的共振频率与衰减系数，高度集中在低频区域。如果采用全频带均等的优化策略（如全局 L1 损失），模型往往会耗费过多的容量去拟合信噪比极低的高频区域，从而淹没核心的低频生物信息。本研究引入了频率感知损失，通过构建一个阶跃式的频率权重掩膜，在计算均方误差时实施自适应惩罚，其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freq</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定义为：</w:t>
            </w:r>
          </w:p>
          <w:p w14:paraId="2206432F">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freq</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m:scr m:val="double-struck"/>
                    </m:rPr>
                    <w:rPr>
                      <w:rFonts w:ascii="Cambria Math" w:hAnsi="Cambria Math" w:eastAsia="MS Mincho"/>
                      <w:color w:val="000000" w:themeColor="text1"/>
                      <w:sz w:val="24"/>
                      <w14:textFill>
                        <w14:solidFill>
                          <w14:schemeClr w14:val="tx1"/>
                        </w14:solidFill>
                      </w14:textFill>
                    </w:rPr>
                    <m:t>E</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x</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freq</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⊙(x−F(G(x))</m:t>
              </m:r>
              <m:sSup>
                <m:sSupPr>
                  <m:ctrlPr>
                    <w:rPr>
                      <w:rFonts w:ascii="Cambria Math" w:hAnsi="Cambria Math"/>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p>
              <m:r>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(4-8)</w:t>
            </w:r>
          </w:p>
          <w:p w14:paraId="0731EC51">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综上，生成器的总损失函数</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G_total</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设计如下：</w:t>
            </w:r>
          </w:p>
          <w:p w14:paraId="2C243E4D">
            <w:pPr>
              <w:spacing w:line="360" w:lineRule="auto"/>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G_total</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adv</m:t>
                  </m:r>
                  <m:ctrlPr>
                    <w:rPr>
                      <w:rFonts w:ascii="Cambria Math" w:hAnsi="Cambria Math"/>
                      <w:color w:val="000000" w:themeColor="text1"/>
                      <w:sz w:val="24"/>
                      <w14:textFill>
                        <w14:solidFill>
                          <w14:schemeClr w14:val="tx1"/>
                        </w14:solidFill>
                      </w14:textFill>
                    </w:rPr>
                  </m:ctrlPr>
                </m:sub>
              </m:sSub>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adv</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rec</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rec</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cyc</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cyc</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id</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id</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feat</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feat</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freq</m:t>
                  </m:r>
                  <m:ctrlPr>
                    <w:rPr>
                      <w:rFonts w:ascii="Cambria Math" w:hAnsi="Cambria Math"/>
                      <w:color w:val="000000" w:themeColor="text1"/>
                      <w:sz w:val="24"/>
                      <w14:textFill>
                        <w14:solidFill>
                          <w14:schemeClr w14:val="tx1"/>
                        </w14:solidFill>
                      </w14:textFill>
                    </w:rPr>
                  </m:ctrlPr>
                </m:sub>
              </m:sSub>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freq</m:t>
                  </m:r>
                  <m:ctrlPr>
                    <w:rPr>
                      <w:rFonts w:ascii="Cambria Math" w:hAnsi="Cambria Math"/>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(4-9)</w:t>
            </w:r>
          </w:p>
          <w:p w14:paraId="7FB3637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通过上述loss的约束，模型能够在充分利用配对数据内在对应关系的同时，借助CycleGAN框架，实现的Audio-ACC双向跨模态转化，为后续的身份认证任务提供坚实可靠的数据基础。</w:t>
            </w:r>
          </w:p>
          <w:p w14:paraId="0C099C9E">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4.1.</w:t>
            </w:r>
            <w:r>
              <w:rPr>
                <w:rFonts w:hint="eastAsia"/>
                <w:color w:val="000000" w:themeColor="text1"/>
                <w:sz w:val="24"/>
                <w14:textFill>
                  <w14:solidFill>
                    <w14:schemeClr w14:val="tx1"/>
                  </w14:solidFill>
                </w14:textFill>
              </w:rPr>
              <w:t>5</w:t>
            </w:r>
            <w:r>
              <w:rPr>
                <w:color w:val="000000" w:themeColor="text1"/>
                <w:sz w:val="24"/>
                <w14:textFill>
                  <w14:solidFill>
                    <w14:schemeClr w14:val="tx1"/>
                  </w14:solidFill>
                </w14:textFill>
              </w:rPr>
              <w:t xml:space="preserve"> 身份认证</w:t>
            </w:r>
          </w:p>
          <w:p w14:paraId="2995249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本研究的身份认证方案核心在于不直接使用原始ACC信号，而是将为单个用户预训练好CycleGAN模型作为一个多层次的特征提取器，从不同角度挖掘与用户身份强相关的独特特征。</w:t>
            </w:r>
          </w:p>
          <w:p w14:paraId="0E05DF1D">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身份认证本质上是一个特征匹配与度量问题。然而加速度计信号在频域上较为极其单薄，传统的基于交叉熵的闭集分类范式侧重于寻找固定类别的决策超平面，缺乏对特征空间分布的显式几何约束，难以应对未见注册用户的开放集防伪挑战，且往往只能捕获易受环境干扰的浅层统计特征，极易对噪声过拟合。相比之下，对比学习通过实例级的推拉博弈赋予了模型强大的抗噪表征能力，而度量学习则通过引入距离间隔（Margin）塑造了类内紧凑、类间分离的超球面流形。</w:t>
            </w:r>
          </w:p>
          <w:p w14:paraId="165FEE4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因此，本研究设计了一个基于对比表征与空间度量的身份认证框架如图6，通过在训练阶段使用对比学习来最大化特征的判别性，在推理阶段执行度量学习逻辑，利用学习到的度量空间进行 1:N 身份比对。这种设计充分利用了对比学习在处理大规模负样本时的表征优势，以及度量学习在开放集认证中的几何边界约束能力。</w:t>
            </w:r>
          </w:p>
          <w:p w14:paraId="0A9A37C4">
            <w:pPr>
              <w:spacing w:line="360" w:lineRule="auto"/>
              <w:ind w:firstLine="420" w:firstLineChars="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200525" cy="3047365"/>
                  <wp:effectExtent l="12700" t="12700" r="15875" b="13335"/>
                  <wp:docPr id="1740875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75690" name="图片 1"/>
                          <pic:cNvPicPr>
                            <a:picLocks noChangeAspect="1"/>
                          </pic:cNvPicPr>
                        </pic:nvPicPr>
                        <pic:blipFill>
                          <a:blip r:embed="rId10"/>
                          <a:srcRect l="-2" t="8571" r="2" b="4730"/>
                          <a:stretch>
                            <a:fillRect/>
                          </a:stretch>
                        </pic:blipFill>
                        <pic:spPr>
                          <a:xfrm>
                            <a:off x="0" y="0"/>
                            <a:ext cx="4223856" cy="3064368"/>
                          </a:xfrm>
                          <a:prstGeom prst="rect">
                            <a:avLst/>
                          </a:prstGeom>
                          <a:ln>
                            <a:solidFill>
                              <a:schemeClr val="tx1"/>
                            </a:solidFill>
                          </a:ln>
                        </pic:spPr>
                      </pic:pic>
                    </a:graphicData>
                  </a:graphic>
                </wp:inline>
              </w:drawing>
            </w:r>
          </w:p>
          <w:p w14:paraId="6907A2F5">
            <w:pPr>
              <w:spacing w:line="360" w:lineRule="auto"/>
              <w:ind w:firstLine="440" w:firstLineChars="200"/>
              <w:jc w:val="center"/>
              <w:rPr>
                <w:color w:val="000000" w:themeColor="text1"/>
                <w14:textFill>
                  <w14:solidFill>
                    <w14:schemeClr w14:val="tx1"/>
                  </w14:solidFill>
                </w14:textFill>
              </w:rPr>
            </w:pPr>
            <w:r>
              <w:rPr>
                <w:rFonts w:eastAsiaTheme="minorEastAsia"/>
                <w:color w:val="000000" w:themeColor="text1"/>
                <w:sz w:val="22"/>
                <w:szCs w:val="28"/>
                <w14:textFill>
                  <w14:solidFill>
                    <w14:schemeClr w14:val="tx1"/>
                  </w14:solidFill>
                </w14:textFill>
              </w:rPr>
              <w:t>图</w:t>
            </w:r>
            <w:r>
              <w:rPr>
                <w:rFonts w:hint="eastAsia" w:eastAsiaTheme="minorEastAsia"/>
                <w:color w:val="000000" w:themeColor="text1"/>
                <w:sz w:val="22"/>
                <w:szCs w:val="28"/>
                <w14:textFill>
                  <w14:solidFill>
                    <w14:schemeClr w14:val="tx1"/>
                  </w14:solidFill>
                </w14:textFill>
              </w:rPr>
              <w:t>4-</w:t>
            </w:r>
            <w:r>
              <w:rPr>
                <w:rFonts w:eastAsiaTheme="minorEastAsia"/>
                <w:color w:val="000000" w:themeColor="text1"/>
                <w:sz w:val="22"/>
                <w:szCs w:val="28"/>
                <w14:textFill>
                  <w14:solidFill>
                    <w14:schemeClr w14:val="tx1"/>
                  </w14:solidFill>
                </w14:textFill>
              </w:rPr>
              <w:t>6：</w:t>
            </w:r>
            <w:r>
              <w:rPr>
                <w:rFonts w:eastAsiaTheme="minorEastAsia"/>
                <w:color w:val="000000" w:themeColor="text1"/>
                <w:sz w:val="24"/>
                <w14:textFill>
                  <w14:solidFill>
                    <w14:schemeClr w14:val="tx1"/>
                  </w14:solidFill>
                </w14:textFill>
              </w:rPr>
              <w:t>身</w:t>
            </w:r>
            <w:r>
              <w:rPr>
                <w:color w:val="000000" w:themeColor="text1"/>
                <w:sz w:val="24"/>
                <w14:textFill>
                  <w14:solidFill>
                    <w14:schemeClr w14:val="tx1"/>
                  </w14:solidFill>
                </w14:textFill>
              </w:rPr>
              <w:t>份认证流程细节图</w:t>
            </w:r>
          </w:p>
          <w:p w14:paraId="3979F1B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（1）特征提取与融合</w:t>
            </w:r>
          </w:p>
          <w:p w14:paraId="3CBC345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基于CycleGAN作为个性化映射函数的特性，本研究设计了多层次特征提取架构，从不同层次捕获用户身份信息，主要包括浅层纹理特征、瓶颈语义特征和重建差异特征。</w:t>
            </w:r>
          </w:p>
          <w:p w14:paraId="00FA9AE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浅层纹理特征（Shallow_ features）：不同用户的头部运动习惯、VR设备佩戴方式等差异，会在ACC频谱图的低频纹理上形成独特模式。这些模式在浅层特征中得到保留和增强，成为身份认证的重要线索，该层特征对用户的运动行为模式敏感，具有较高的时频分辨率，能够有效区分不同用户的操作习惯。</w:t>
            </w:r>
          </w:p>
          <w:p w14:paraId="627DE751">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瓶颈语义特征（Bottle_features）：主要是发声振动信号体传导特性量化。CycleGAN编码器的深层网络（特别是包含注意力机制的瓶颈层）学习到的频率-时间依赖关系，直接对应不同用户的体传导效率差异。在频谱转换过程中，体传导特性决定了</w:t>
            </w:r>
            <w:r>
              <w:rPr>
                <w:rFonts w:hint="eastAsia"/>
                <w:color w:val="000000" w:themeColor="text1"/>
                <w:sz w:val="24"/>
                <w14:textFill>
                  <w14:solidFill>
                    <w14:schemeClr w14:val="tx1"/>
                  </w14:solidFill>
                </w14:textFill>
              </w:rPr>
              <w:t>信号</w:t>
            </w:r>
            <w:r>
              <w:rPr>
                <w:color w:val="000000" w:themeColor="text1"/>
                <w:sz w:val="24"/>
                <w14:textFill>
                  <w14:solidFill>
                    <w14:schemeClr w14:val="tx1"/>
                  </w14:solidFill>
                </w14:textFill>
              </w:rPr>
              <w:t>如何通过骨骼与软组织，这种生理特性具有高度的个体独特性。该层特征捕获了经过非线性变换后的高层语义信息，对用户的生理结构差异最为敏感，是身份认证的核心特征。</w:t>
            </w:r>
          </w:p>
          <w:p w14:paraId="7679219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重建差异特征（Cycle_features）：主要是生理独特性的度量。CycleGAN的循环重建过程中产生的残差，直接反映了模型对特定用户生理特性的“适应程度”。不同用户的生理结构差异越大，重建误差的模式差异越显著，其是身份独特性的体现。该特征直接量化了CycleGAN映射函数与特定用户生理特性的匹配程度，是最具判别性的身份特征。并且，通过对比同一个人的原始ACC特征和通过Audio数据参与训练后的生成器得到的重建ACC特征，可以隐式的使用Auido数据，支撑身份认证。</w:t>
            </w:r>
          </w:p>
          <w:p w14:paraId="714B8F7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（2）特征融合</w:t>
            </w:r>
          </w:p>
          <w:p w14:paraId="4AB8906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在完成特征提取后，融合模块首先在通道维度上进行特征级联。为了消除不同特征源在数值尺度与分布形态上的异构性，级联后的高维张量被送入包含批归一化（Batch Normalization）、带泄露修正线性激活及丢弃正则化（Dropout）的多层感知机（Multi-Layer Perceptron, MLP）融合网络中。这一非线性投影流形强迫网络自动学习特征间的隐式依赖与重要性加权，最终将多源物理信息平滑地压缩至一个统一的、紧凑的隐藏流形空间中，表现为一个融合向量。</w:t>
            </w:r>
          </w:p>
          <w:p w14:paraId="285884C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（3）对比学习优化</w:t>
            </w:r>
          </w:p>
          <w:p w14:paraId="78326D3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具体认证思路，本研究以1vN为研究目标，核心优化目标是 SupConLoss（监督对比损失），这是一种典型的对比学习范式。在嵌入空间中最大化同一用户样本的相似度，最小化不同用户样本的相似度。对比学习能够有效挖掘身份特征的内在结构，使模型学习到的身份嵌入具有高度的类内一致性和类间区分性，其损失函数</w:t>
            </w:r>
            <m:oMath>
              <m:sSub>
                <m:sSubPr>
                  <m:ctrlPr>
                    <w:rPr>
                      <w:rFonts w:ascii="Cambria Math" w:hAnsi="Cambria Math"/>
                      <w:color w:val="000000" w:themeColor="text1"/>
                      <w:sz w:val="24"/>
                      <w14:textFill>
                        <w14:solidFill>
                          <w14:schemeClr w14:val="tx1"/>
                        </w14:solidFill>
                      </w14:textFill>
                    </w:rPr>
                  </m:ctrlPr>
                </m:sSubPr>
                <m:e>
                  <m:r>
                    <m:rPr>
                      <m:nor/>
                    </m:rPr>
                    <w:rPr>
                      <w:i/>
                      <w:iCs/>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e>
                <m:sub>
                  <m:r>
                    <m:rPr>
                      <m:nor/>
                    </m:rPr>
                    <w:rPr>
                      <w:i/>
                      <w:color w:val="000000" w:themeColor="text1"/>
                      <w:sz w:val="24"/>
                      <w14:textFill>
                        <w14:solidFill>
                          <w14:schemeClr w14:val="tx1"/>
                        </w14:solidFill>
                      </w14:textFill>
                    </w:rPr>
                    <m:t>SupCon</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表示如下：</w:t>
            </w:r>
          </w:p>
          <w:p w14:paraId="502CC372">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color w:val="000000" w:themeColor="text1"/>
                      <w:sz w:val="24"/>
                      <w14:textFill>
                        <w14:solidFill>
                          <w14:schemeClr w14:val="tx1"/>
                        </w14:solidFill>
                      </w14:textFill>
                    </w:rPr>
                  </m:ctrlPr>
                </m:sSubPr>
                <m:e>
                  <m:r>
                    <m:rPr>
                      <m:scr m:val="script"/>
                    </m:rPr>
                    <w:rPr>
                      <w:rFonts w:ascii="Cambria Math" w:hAnsi="Cambria Math" w:eastAsia="MS Mincho"/>
                      <w:color w:val="000000" w:themeColor="text1"/>
                      <w:sz w:val="24"/>
                      <w14:textFill>
                        <w14:solidFill>
                          <w14:schemeClr w14:val="tx1"/>
                        </w14:solidFill>
                      </w14:textFill>
                    </w:rPr>
                    <m:t>ℒ</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SupCon</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nary>
                <m:naryPr>
                  <m:chr m:val="∑"/>
                  <m:limLoc m:val="subSup"/>
                  <m:supHide m:val="1"/>
                  <m:ctrlPr>
                    <w:rPr>
                      <w:rFonts w:ascii="Cambria Math" w:hAnsi="Cambria Math"/>
                      <w:color w:val="000000" w:themeColor="text1"/>
                      <w:sz w:val="24"/>
                      <w14:textFill>
                        <w14:solidFill>
                          <w14:schemeClr w14:val="tx1"/>
                        </w14:solidFill>
                      </w14:textFill>
                    </w:rPr>
                  </m:ctrlPr>
                </m:naryPr>
                <m:sub>
                  <m:r>
                    <m:rPr/>
                    <w:rPr>
                      <w:rFonts w:ascii="Cambria Math" w:hAnsi="Cambria Math"/>
                      <w:color w:val="000000" w:themeColor="text1"/>
                      <w:sz w:val="24"/>
                      <w14:textFill>
                        <w14:solidFill>
                          <w14:schemeClr w14:val="tx1"/>
                        </w14:solidFill>
                      </w14:textFill>
                    </w:rPr>
                    <m:t>i∈I</m:t>
                  </m:r>
                  <m:ctrlPr>
                    <w:rPr>
                      <w:rFonts w:ascii="Cambria Math" w:hAnsi="Cambria Math"/>
                      <w:color w:val="000000" w:themeColor="text1"/>
                      <w:sz w:val="24"/>
                      <w14:textFill>
                        <w14:solidFill>
                          <w14:schemeClr w14:val="tx1"/>
                        </w14:solidFill>
                      </w14:textFill>
                    </w:rPr>
                  </m:ctrlPr>
                </m:sub>
                <m:sup>
                  <m:ctrlPr>
                    <w:rPr>
                      <w:rFonts w:ascii="Cambria Math" w:hAnsi="Cambria Math"/>
                      <w:color w:val="000000" w:themeColor="text1"/>
                      <w:sz w:val="24"/>
                      <w14:textFill>
                        <w14:solidFill>
                          <w14:schemeClr w14:val="tx1"/>
                        </w14:solidFill>
                      </w14:textFill>
                    </w:rPr>
                  </m:ctrlPr>
                </m:sup>
                <m:e>
                  <m:f>
                    <m:fPr>
                      <m:ctrlPr>
                        <w:rPr>
                          <w:rFonts w:ascii="Cambria Math" w:hAnsi="Cambria Math"/>
                          <w:color w:val="000000" w:themeColor="text1"/>
                          <w:sz w:val="24"/>
                          <w14:textFill>
                            <w14:solidFill>
                              <w14:schemeClr w14:val="tx1"/>
                            </w14:solidFill>
                          </w14:textFill>
                        </w:rPr>
                      </m:ctrlPr>
                    </m:fPr>
                    <m:num>
                      <m:r>
                        <m:rPr/>
                        <w:rPr>
                          <w:rFonts w:ascii="Cambria Math" w:hAns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num>
                    <m:den>
                      <m:r>
                        <m:rPr/>
                        <w:rPr>
                          <w:rFonts w:ascii="Cambria Math" w:hAnsi="Cambria Math"/>
                          <w:color w:val="000000" w:themeColor="text1"/>
                          <w:sz w:val="24"/>
                          <w14:textFill>
                            <w14:solidFill>
                              <w14:schemeClr w14:val="tx1"/>
                            </w14:solidFill>
                          </w14:textFill>
                        </w:rPr>
                        <m:t>|P(i)|</m:t>
                      </m:r>
                      <m:ctrlPr>
                        <w:rPr>
                          <w:rFonts w:ascii="Cambria Math" w:hAnsi="Cambria Math"/>
                          <w:color w:val="000000" w:themeColor="text1"/>
                          <w:sz w:val="24"/>
                          <w14:textFill>
                            <w14:solidFill>
                              <w14:schemeClr w14:val="tx1"/>
                            </w14:solidFill>
                          </w14:textFill>
                        </w:rPr>
                      </m:ctrlPr>
                    </m:den>
                  </m:f>
                  <m:ctrlPr>
                    <w:rPr>
                      <w:rFonts w:ascii="Cambria Math" w:hAnsi="Cambria Math"/>
                      <w:color w:val="000000" w:themeColor="text1"/>
                      <w:sz w:val="24"/>
                      <w14:textFill>
                        <w14:solidFill>
                          <w14:schemeClr w14:val="tx1"/>
                        </w14:solidFill>
                      </w14:textFill>
                    </w:rPr>
                  </m:ctrlPr>
                </m:e>
              </m:nary>
              <m:nary>
                <m:naryPr>
                  <m:chr m:val="∑"/>
                  <m:limLoc m:val="subSup"/>
                  <m:supHide m:val="1"/>
                  <m:ctrlPr>
                    <w:rPr>
                      <w:rFonts w:ascii="Cambria Math" w:hAnsi="Cambria Math"/>
                      <w:color w:val="000000" w:themeColor="text1"/>
                      <w:sz w:val="24"/>
                      <w14:textFill>
                        <w14:solidFill>
                          <w14:schemeClr w14:val="tx1"/>
                        </w14:solidFill>
                      </w14:textFill>
                    </w:rPr>
                  </m:ctrlPr>
                </m:naryPr>
                <m:sub>
                  <m:r>
                    <m:rPr/>
                    <w:rPr>
                      <w:rFonts w:ascii="Cambria Math" w:hAnsi="Cambria Math"/>
                      <w:color w:val="000000" w:themeColor="text1"/>
                      <w:sz w:val="24"/>
                      <w14:textFill>
                        <w14:solidFill>
                          <w14:schemeClr w14:val="tx1"/>
                        </w14:solidFill>
                      </w14:textFill>
                    </w:rPr>
                    <m:t>p∈P(i)</m:t>
                  </m:r>
                  <m:ctrlPr>
                    <w:rPr>
                      <w:rFonts w:ascii="Cambria Math" w:hAnsi="Cambria Math"/>
                      <w:color w:val="000000" w:themeColor="text1"/>
                      <w:sz w:val="24"/>
                      <w14:textFill>
                        <w14:solidFill>
                          <w14:schemeClr w14:val="tx1"/>
                        </w14:solidFill>
                      </w14:textFill>
                    </w:rPr>
                  </m:ctrlPr>
                </m:sub>
                <m:sup>
                  <m:ctrlPr>
                    <w:rPr>
                      <w:rFonts w:ascii="Cambria Math" w:hAnsi="Cambria Math"/>
                      <w:color w:val="000000" w:themeColor="text1"/>
                      <w:sz w:val="24"/>
                      <w14:textFill>
                        <w14:solidFill>
                          <w14:schemeClr w14:val="tx1"/>
                        </w14:solidFill>
                      </w14:textFill>
                    </w:rPr>
                  </m:ctrlPr>
                </m:sup>
                <m:e>
                  <m:func>
                    <m:funcPr>
                      <m:ctrlPr>
                        <w:rPr>
                          <w:rFonts w:ascii="Cambria Math" w:hAnsi="Cambria Math"/>
                          <w:color w:val="000000" w:themeColor="text1"/>
                          <w:sz w:val="24"/>
                          <w14:textFill>
                            <w14:solidFill>
                              <w14:schemeClr w14:val="tx1"/>
                            </w14:solidFill>
                          </w14:textFill>
                        </w:rPr>
                      </m:ctrlPr>
                    </m:funcPr>
                    <m:fName>
                      <m:r>
                        <m:rPr>
                          <m:sty m:val="p"/>
                        </m:rPr>
                        <w:rPr>
                          <w:rFonts w:ascii="Cambria Math" w:hAnsi="Cambria Math"/>
                          <w:color w:val="000000" w:themeColor="text1"/>
                          <w:sz w:val="24"/>
                          <w14:textFill>
                            <w14:solidFill>
                              <w14:schemeClr w14:val="tx1"/>
                            </w14:solidFill>
                          </w14:textFill>
                        </w:rPr>
                        <m:t>log</m:t>
                      </m:r>
                      <m:ctrlPr>
                        <w:rPr>
                          <w:rFonts w:ascii="Cambria Math" w:hAnsi="Cambria Math"/>
                          <w:color w:val="000000" w:themeColor="text1"/>
                          <w:sz w:val="24"/>
                          <w14:textFill>
                            <w14:solidFill>
                              <w14:schemeClr w14:val="tx1"/>
                            </w14:solidFill>
                          </w14:textFill>
                        </w:rPr>
                      </m:ctrlPr>
                    </m:fName>
                    <m:e>
                      <m:f>
                        <m:fPr>
                          <m:ctrlPr>
                            <w:rPr>
                              <w:rFonts w:ascii="Cambria Math" w:hAnsi="Cambria Math"/>
                              <w:color w:val="000000" w:themeColor="text1"/>
                              <w:sz w:val="24"/>
                              <w14:textFill>
                                <w14:solidFill>
                                  <w14:schemeClr w14:val="tx1"/>
                                </w14:solidFill>
                              </w14:textFill>
                            </w:rPr>
                          </m:ctrlPr>
                        </m:fPr>
                        <m:num>
                          <m:r>
                            <m:rPr/>
                            <w:rPr>
                              <w:rFonts w:ascii="Cambria Math" w:hAnsi="Cambria Math"/>
                              <w:color w:val="000000" w:themeColor="text1"/>
                              <w:sz w:val="24"/>
                              <w14:textFill>
                                <w14:solidFill>
                                  <w14:schemeClr w14:val="tx1"/>
                                </w14:solidFill>
                              </w14:textFill>
                            </w:rPr>
                            <m:t>exp(</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p</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/τ)</m:t>
                          </m:r>
                          <m:ctrlPr>
                            <w:rPr>
                              <w:rFonts w:ascii="Cambria Math" w:hAnsi="Cambria Math"/>
                              <w:color w:val="000000" w:themeColor="text1"/>
                              <w:sz w:val="24"/>
                              <w14:textFill>
                                <w14:solidFill>
                                  <w14:schemeClr w14:val="tx1"/>
                                </w14:solidFill>
                              </w14:textFill>
                            </w:rPr>
                          </m:ctrlPr>
                        </m:num>
                        <m:den>
                          <m:r>
                            <m:rPr/>
                            <w:rPr>
                              <w:rFonts w:ascii="Cambria Math" w:hAnsi="Cambria Math"/>
                              <w:color w:val="000000" w:themeColor="text1"/>
                              <w:sz w:val="24"/>
                              <w14:textFill>
                                <w14:solidFill>
                                  <w14:schemeClr w14:val="tx1"/>
                                </w14:solidFill>
                              </w14:textFill>
                            </w:rPr>
                            <m:t>exp(</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p</m:t>
                              </m:r>
                              <m:ctrlPr>
                                <w:rPr>
                                  <w:rFonts w:ascii="Cambria Math" w:hAnsi="Cambria Math"/>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/τ)</m:t>
                          </m:r>
                          <m:ctrlPr>
                            <w:rPr>
                              <w:rFonts w:ascii="Cambria Math" w:hAnsi="Cambria Math"/>
                              <w:color w:val="000000" w:themeColor="text1"/>
                              <w:sz w:val="24"/>
                              <w14:textFill>
                                <w14:solidFill>
                                  <w14:schemeClr w14:val="tx1"/>
                                </w14:solidFill>
                              </w14:textFill>
                            </w:rPr>
                          </m:ctrlPr>
                        </m:den>
                      </m:f>
                      <m:ctrlPr>
                        <w:rPr>
                          <w:rFonts w:ascii="Cambria Math" w:hAnsi="Cambria Math"/>
                          <w:color w:val="000000" w:themeColor="text1"/>
                          <w:sz w:val="24"/>
                          <w14:textFill>
                            <w14:solidFill>
                              <w14:schemeClr w14:val="tx1"/>
                            </w14:solidFill>
                          </w14:textFill>
                        </w:rPr>
                      </m:ctrlPr>
                    </m:e>
                  </m:func>
                  <m:ctrlPr>
                    <w:rPr>
                      <w:rFonts w:ascii="Cambria Math" w:hAnsi="Cambria Math"/>
                      <w:color w:val="000000" w:themeColor="text1"/>
                      <w:sz w:val="24"/>
                      <w14:textFill>
                        <w14:solidFill>
                          <w14:schemeClr w14:val="tx1"/>
                        </w14:solidFill>
                      </w14:textFill>
                    </w:rPr>
                  </m:ctrlPr>
                </m:e>
              </m:nary>
            </m:oMath>
            <w:r>
              <w:rPr>
                <w:color w:val="000000" w:themeColor="text1"/>
                <w:sz w:val="24"/>
                <w14:textFill>
                  <w14:solidFill>
                    <w14:schemeClr w14:val="tx1"/>
                  </w14:solidFill>
                </w14:textFill>
              </w:rPr>
              <w:t xml:space="preserve"> (4-10)</w:t>
            </w:r>
          </w:p>
          <w:p w14:paraId="0390CB3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（4）应用流程</w:t>
            </w:r>
          </w:p>
          <w:p w14:paraId="47B81033">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方案的应用流程主要包括注册阶段和认证阶段。注册阶段提取合法用户多组样本的特征均值作为身份质心存入注册库；认证阶段则实时提取待测样本的融合特征，并计算其与库中模板的余弦相似度。这种基于角度距离的判定逻辑，配合预设的安全阈值，确保了系统在1:N识别任务中精准确认合法身份，并有效拦截未注册的冒充者。</w:t>
            </w:r>
          </w:p>
          <w:p w14:paraId="2802639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预期在 1:N 认证任务中实现较低的等错误率（EER）。通过注册库管理机制，对比目标用户与冒充者的余弦相似度分布。评估指标将涵盖组内相似度、组间相似度以及分离度。通过对真实多用户数据集进行交叉验证，旨在证明融合 CycleGAN 语义特征与重建残差特征能够显著提升 VR 场景下主动身份验证的安全边界。</w:t>
            </w:r>
          </w:p>
          <w:p w14:paraId="037A457B">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4.1.</w:t>
            </w:r>
            <w:r>
              <w:rPr>
                <w:rFonts w:hint="eastAsia"/>
                <w:color w:val="000000" w:themeColor="text1"/>
                <w:sz w:val="24"/>
                <w14:textFill>
                  <w14:solidFill>
                    <w14:schemeClr w14:val="tx1"/>
                  </w14:solidFill>
                </w14:textFill>
              </w:rPr>
              <w:t>6</w:t>
            </w:r>
            <w:r>
              <w:rPr>
                <w:color w:val="000000" w:themeColor="text1"/>
                <w:sz w:val="24"/>
                <w14:textFill>
                  <w14:solidFill>
                    <w14:schemeClr w14:val="tx1"/>
                  </w14:solidFill>
                </w14:textFill>
              </w:rPr>
              <w:t xml:space="preserve"> 预实验</w:t>
            </w:r>
          </w:p>
          <w:p w14:paraId="509F379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本实验旨在验证在VR场景下，利用头显内置零权限加速度计（ACC）采集骨传导振动信号并进行隐式身份认证的可行性。</w:t>
            </w:r>
          </w:p>
          <w:p w14:paraId="6E99649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实验采用 HTC VIVE Pro 头显，由受试者在单人坐姿下进行数据采集，以尽量减少宏观运动带来的干扰伪影。采集过程中，受试者需朗读30个常见的VR交互英文指令（如“stand”、“Grab”、“Select”等），每人共采集300组有效数据，用以构建基础的单人与多用户测试集。在硬件调用层面，双声道空气传导语音以 48000 Hz 采样率获取，加速度计信号则以 1000 Hz 的采样率进行零权限读取；两者均通过 OpenVR API（Application Programming Interface, 应用程序编程接口）直接获取底层硬件数据流，从而确保跨模态信号在时间戳上的严格对齐。</w:t>
            </w:r>
          </w:p>
          <w:p w14:paraId="25E0551A">
            <w:pPr>
              <w:pStyle w:val="9"/>
              <w:widowControl/>
              <w:spacing w:line="360" w:lineRule="auto"/>
              <w:ind w:firstLine="420"/>
              <w:jc w:val="center"/>
              <w:rPr>
                <w:color w:val="000000" w:themeColor="text1"/>
                <w14:textFill>
                  <w14:solidFill>
                    <w14:schemeClr w14:val="tx1"/>
                  </w14:solidFill>
                </w14:textFill>
              </w:rPr>
            </w:pPr>
            <w:r>
              <w:fldChar w:fldCharType="begin"/>
            </w:r>
            <w:r>
              <w:instrText xml:space="preserve"> INCLUDEPICTURE "/Users/xiaobingbao/Library/Group Containers/UBF8T346G9.ms/WebArchiveCopyPasteTempFiles/com.microsoft.Word/e7b0c14f875f42c7a95e11a782136185.jpeg" \* MERGEFORMATINET </w:instrText>
            </w:r>
            <w:r>
              <w:fldChar w:fldCharType="separate"/>
            </w:r>
            <w:r>
              <w:drawing>
                <wp:inline distT="0" distB="0" distL="0" distR="0">
                  <wp:extent cx="2507615" cy="1464310"/>
                  <wp:effectExtent l="0" t="0" r="0" b="0"/>
                  <wp:docPr id="1441385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85981"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79904" cy="1506506"/>
                          </a:xfrm>
                          <a:prstGeom prst="rect">
                            <a:avLst/>
                          </a:prstGeom>
                          <a:noFill/>
                          <a:ln>
                            <a:noFill/>
                          </a:ln>
                        </pic:spPr>
                      </pic:pic>
                    </a:graphicData>
                  </a:graphic>
                </wp:inline>
              </w:drawing>
            </w:r>
            <w:r>
              <w:fldChar w:fldCharType="end"/>
            </w:r>
            <w:r>
              <w:rPr>
                <w:color w:val="000000" w:themeColor="text1"/>
                <w14:textOutline w14:w="9525" w14:cap="rnd" w14:cmpd="sng" w14:algn="ctr">
                  <w14:solidFill>
                    <w14:schemeClr w14:val="tx1"/>
                  </w14:solidFill>
                  <w14:prstDash w14:val="solid"/>
                  <w14:bevel/>
                </w14:textOutline>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1648460" cy="1476375"/>
                  <wp:effectExtent l="0" t="0" r="0" b="0"/>
                  <wp:docPr id="26" name="图片 26" descr="6cd0b48b3798bac631f2ea95992bd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6cd0b48b3798bac631f2ea95992bd1e8"/>
                          <pic:cNvPicPr>
                            <a:picLocks noChangeAspect="1"/>
                          </pic:cNvPicPr>
                        </pic:nvPicPr>
                        <pic:blipFill>
                          <a:blip r:embed="rId12"/>
                          <a:srcRect l="12567" t="5690" r="17422" b="31607"/>
                          <a:stretch>
                            <a:fillRect/>
                          </a:stretch>
                        </pic:blipFill>
                        <pic:spPr>
                          <a:xfrm>
                            <a:off x="0" y="0"/>
                            <a:ext cx="1648460" cy="1476375"/>
                          </a:xfrm>
                          <a:prstGeom prst="rect">
                            <a:avLst/>
                          </a:prstGeom>
                        </pic:spPr>
                      </pic:pic>
                    </a:graphicData>
                  </a:graphic>
                </wp:inline>
              </w:drawing>
            </w:r>
          </w:p>
          <w:p w14:paraId="39D19C8E">
            <w:pPr>
              <w:pStyle w:val="9"/>
              <w:widowControl/>
              <w:spacing w:line="360" w:lineRule="auto"/>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14:textFill>
                  <w14:solidFill>
                    <w14:schemeClr w14:val="tx1"/>
                  </w14:solidFill>
                </w14:textFill>
              </w:rPr>
              <w:t>4-7</w:t>
            </w:r>
            <w:r>
              <w:rPr>
                <w:color w:val="000000" w:themeColor="text1"/>
                <w14:textFill>
                  <w14:solidFill>
                    <w14:schemeClr w14:val="tx1"/>
                  </w14:solidFill>
                </w14:textFill>
              </w:rPr>
              <w:t>：实验采集场景</w:t>
            </w:r>
          </w:p>
          <w:p w14:paraId="1CC16B24">
            <w:pPr>
              <w:pStyle w:val="9"/>
              <w:widowControl/>
              <w:spacing w:line="360" w:lineRule="auto"/>
              <w:ind w:firstLine="420"/>
              <w:rPr>
                <w:color w:val="000000" w:themeColor="text1"/>
                <w14:textFill>
                  <w14:solidFill>
                    <w14:schemeClr w14:val="tx1"/>
                  </w14:solidFill>
                </w14:textFill>
              </w:rPr>
            </w:pPr>
            <w:r>
              <w:rPr>
                <w:color w:val="000000" w:themeColor="text1"/>
                <w14:textFill>
                  <w14:solidFill>
                    <w14:schemeClr w14:val="tx1"/>
                  </w14:solidFill>
                </w14:textFill>
              </w:rPr>
              <w:t>采集的数据经高通滤波、VAD端点检测与时间戳对齐后，分别转化为80×80的Mel频谱图与ACC幅度谱并进行对数转化与百分位归一化。随后，利用目标用户的专有数据训练并冻结一个ACC与语音双向转换的CycleGAN模型。Acc-&gt;Audio方向模态转化效果如下：</w:t>
            </w:r>
          </w:p>
          <w:p w14:paraId="0CD6ACC5">
            <w:pPr>
              <w:pStyle w:val="9"/>
              <w:widowControl/>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37860" cy="1675130"/>
                  <wp:effectExtent l="12700" t="12700" r="15240" b="13970"/>
                  <wp:docPr id="9939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30" name="图片 1"/>
                          <pic:cNvPicPr>
                            <a:picLocks noChangeAspect="1"/>
                          </pic:cNvPicPr>
                        </pic:nvPicPr>
                        <pic:blipFill>
                          <a:blip r:embed="rId13"/>
                          <a:stretch>
                            <a:fillRect/>
                          </a:stretch>
                        </pic:blipFill>
                        <pic:spPr>
                          <a:xfrm>
                            <a:off x="0" y="0"/>
                            <a:ext cx="5787237" cy="1689694"/>
                          </a:xfrm>
                          <a:prstGeom prst="rect">
                            <a:avLst/>
                          </a:prstGeom>
                          <a:ln>
                            <a:solidFill>
                              <a:schemeClr val="tx1"/>
                            </a:solidFill>
                          </a:ln>
                        </pic:spPr>
                      </pic:pic>
                    </a:graphicData>
                  </a:graphic>
                </wp:inline>
              </w:drawing>
            </w:r>
          </w:p>
          <w:p w14:paraId="228F4F97">
            <w:pPr>
              <w:pStyle w:val="9"/>
              <w:widowControl/>
              <w:spacing w:line="360" w:lineRule="auto"/>
              <w:ind w:firstLine="420"/>
              <w:jc w:val="center"/>
              <w:rPr>
                <w:color w:val="000000" w:themeColor="text1"/>
                <w14:textFill>
                  <w14:solidFill>
                    <w14:schemeClr w14:val="tx1"/>
                  </w14:solidFill>
                </w14:textFill>
              </w:rPr>
            </w:pPr>
            <w:r>
              <w:rPr>
                <w:color w:val="000000" w:themeColor="text1"/>
                <w14:textFill>
                  <w14:solidFill>
                    <w14:schemeClr w14:val="tx1"/>
                  </w14:solidFill>
                </w14:textFill>
              </w:rPr>
              <w:t>图</w:t>
            </w:r>
            <w:r>
              <w:rPr>
                <w:rFonts w:hint="eastAsia"/>
                <w:color w:val="000000" w:themeColor="text1"/>
                <w14:textFill>
                  <w14:solidFill>
                    <w14:schemeClr w14:val="tx1"/>
                  </w14:solidFill>
                </w14:textFill>
              </w:rPr>
              <w:t>4-8</w:t>
            </w:r>
            <w:r>
              <w:rPr>
                <w:color w:val="000000" w:themeColor="text1"/>
                <w14:textFill>
                  <w14:solidFill>
                    <w14:schemeClr w14:val="tx1"/>
                  </w14:solidFill>
                </w14:textFill>
              </w:rPr>
              <w:t>：ACC-&gt; Fake_ACC-&gt; Rec_ ACC效果图</w:t>
            </w:r>
          </w:p>
          <w:p w14:paraId="1C845356">
            <w:pPr>
              <w:pStyle w:val="9"/>
              <w:widowControl/>
              <w:spacing w:line="360" w:lineRule="auto"/>
              <w:ind w:firstLine="420"/>
              <w:rPr>
                <w:color w:val="000000" w:themeColor="text1"/>
                <w14:textFill>
                  <w14:solidFill>
                    <w14:schemeClr w14:val="tx1"/>
                  </w14:solidFill>
                </w14:textFill>
              </w:rPr>
            </w:pPr>
            <w:r>
              <w:rPr>
                <w:color w:val="000000" w:themeColor="text1"/>
                <w14:textFill>
                  <w14:solidFill>
                    <w14:schemeClr w14:val="tx1"/>
                  </w14:solidFill>
                </w14:textFill>
              </w:rPr>
              <w:t>在特征提取与认证阶段，将测试样本的ACC信号输入该专属模型，并行提取编码器浅层特征、深层瓶颈特征以及循环一致性残差差异特征，将这三部分特征拼接后送入多层感知机进行降维，最后在1:N（1v8）闭集测试中计算待测样本与注册模板的余弦相似度，通过遍历判定阈值完成身份验证并评估。</w:t>
            </w:r>
            <w:r>
              <w:rPr>
                <w:rFonts w:hint="eastAsia"/>
                <w:color w:val="000000" w:themeColor="text1"/>
                <w14:textFill>
                  <w14:solidFill>
                    <w14:schemeClr w14:val="tx1"/>
                  </w14:solidFill>
                </w14:textFill>
              </w:rPr>
              <w:t>其中，系统</w:t>
            </w:r>
            <w:r>
              <w:rPr>
                <w:color w:val="000000" w:themeColor="text1"/>
                <w14:textFill>
                  <w14:solidFill>
                    <w14:schemeClr w14:val="tx1"/>
                  </w14:solidFill>
                </w14:textFill>
              </w:rPr>
              <w:t>EER</w: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2.92%，FAR</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False Acceptance Rate</w:t>
            </w:r>
            <w:r>
              <w:rPr>
                <w:rFonts w:hint="eastAsia"/>
                <w:color w:val="000000" w:themeColor="text1"/>
                <w14:textFill>
                  <w14:solidFill>
                    <w14:schemeClr w14:val="tx1"/>
                  </w14:solidFill>
                </w14:textFill>
              </w:rPr>
              <w:t>，误接受率）为1.67</w:t>
            </w:r>
            <w:r>
              <w:rPr>
                <w:color w:val="000000" w:themeColor="text1"/>
                <w14:textFill>
                  <w14:solidFill>
                    <w14:schemeClr w14:val="tx1"/>
                  </w14:solidFill>
                </w14:textFill>
              </w:rPr>
              <w:t>%, FRR（False Rejection Rate，误拒绝率）</w: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3.33%</w:t>
            </w:r>
            <w:r>
              <w:rPr>
                <w:rFonts w:hint="eastAsia"/>
                <w:color w:val="000000" w:themeColor="text1"/>
                <w14:textFill>
                  <w14:solidFill>
                    <w14:schemeClr w14:val="tx1"/>
                  </w14:solidFill>
                </w14:textFill>
              </w:rPr>
              <w:t>，认证结果分析如图7。</w:t>
            </w:r>
          </w:p>
          <w:p w14:paraId="387F7244">
            <w:pPr>
              <w:pStyle w:val="9"/>
              <w:widowControl/>
              <w:spacing w:line="360" w:lineRule="auto"/>
              <w:ind w:firstLine="420"/>
              <w:rPr>
                <w:color w:val="000000" w:themeColor="text1"/>
                <w14:textFill>
                  <w14:solidFill>
                    <w14:schemeClr w14:val="tx1"/>
                  </w14:solidFill>
                </w14:textFill>
              </w:rPr>
            </w:pPr>
            <w:r>
              <w:drawing>
                <wp:inline distT="0" distB="0" distL="0" distR="0">
                  <wp:extent cx="5368290" cy="2985135"/>
                  <wp:effectExtent l="12700" t="12700" r="16510" b="12065"/>
                  <wp:docPr id="1828284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8452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490368" cy="3052800"/>
                          </a:xfrm>
                          <a:prstGeom prst="rect">
                            <a:avLst/>
                          </a:prstGeom>
                          <a:noFill/>
                          <a:ln>
                            <a:solidFill>
                              <a:schemeClr val="tx1"/>
                            </a:solidFill>
                          </a:ln>
                        </pic:spPr>
                      </pic:pic>
                    </a:graphicData>
                  </a:graphic>
                </wp:inline>
              </w:drawing>
            </w:r>
          </w:p>
          <w:p w14:paraId="0EEB232C">
            <w:pPr>
              <w:pStyle w:val="9"/>
              <w:widowControl/>
              <w:spacing w:line="360" w:lineRule="auto"/>
              <w:ind w:firstLine="42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图4-9:身份认证1v8测试结果分析</w:t>
            </w:r>
          </w:p>
          <w:p w14:paraId="7A79AEF9">
            <w:pPr>
              <w:pStyle w:val="9"/>
              <w:widowControl/>
              <w:spacing w:line="360" w:lineRule="auto"/>
              <w:rPr>
                <w:color w:val="000000" w:themeColor="text1"/>
                <w14:textFill>
                  <w14:solidFill>
                    <w14:schemeClr w14:val="tx1"/>
                  </w14:solidFill>
                </w14:textFill>
              </w:rPr>
            </w:pPr>
            <w:r>
              <w:rPr>
                <w:color w:val="000000" w:themeColor="text1"/>
                <w14:textFill>
                  <w14:solidFill>
                    <w14:schemeClr w14:val="tx1"/>
                  </w14:solidFill>
                </w14:textFill>
              </w:rPr>
              <w:t>4.2 基于模态</w:t>
            </w:r>
            <w:r>
              <w:rPr>
                <w:rFonts w:hint="eastAsia"/>
                <w:color w:val="000000" w:themeColor="text1"/>
                <w14:textFill>
                  <w14:solidFill>
                    <w14:schemeClr w14:val="tx1"/>
                  </w14:solidFill>
                </w14:textFill>
              </w:rPr>
              <w:t>转化</w: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融合特征</w:t>
            </w:r>
            <w:r>
              <w:rPr>
                <w:color w:val="000000" w:themeColor="text1"/>
                <w14:textFill>
                  <w14:solidFill>
                    <w14:schemeClr w14:val="tx1"/>
                  </w14:solidFill>
                </w14:textFill>
              </w:rPr>
              <w:t>小样本开放集身份认证</w:t>
            </w:r>
            <w:r>
              <w:rPr>
                <w:rFonts w:hint="eastAsia"/>
                <w:color w:val="000000" w:themeColor="text1"/>
                <w14:textFill>
                  <w14:solidFill>
                    <w14:schemeClr w14:val="tx1"/>
                  </w14:solidFill>
                </w14:textFill>
              </w:rPr>
              <w:t>技术</w:t>
            </w:r>
          </w:p>
          <w:p w14:paraId="6EC4DA2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虽然基于CycleGAN模型的跨模态转化身份认证模型已初具成效，但还是存在两个问题：循环一致性约束对残差信息量的压制和对比学习对多用户数据</w:t>
            </w:r>
            <w:r>
              <w:rPr>
                <w:rFonts w:hint="eastAsia"/>
                <w:color w:val="000000" w:themeColor="text1"/>
                <w:sz w:val="24"/>
                <w14:textFill>
                  <w14:solidFill>
                    <w14:schemeClr w14:val="tx1"/>
                  </w14:solidFill>
                </w14:textFill>
              </w:rPr>
              <w:t>依赖</w:t>
            </w:r>
            <w:r>
              <w:rPr>
                <w:color w:val="000000" w:themeColor="text1"/>
                <w:sz w:val="24"/>
                <w14:textFill>
                  <w14:solidFill>
                    <w14:schemeClr w14:val="tx1"/>
                  </w14:solidFill>
                </w14:textFill>
              </w:rPr>
              <w:t>。实际应用中，用户注册认证还是应在单用户的闭集训练才具有系统落地的可行性。如何使用单用户数据训练模态转化模型并实现跨用户开放集的身份认证是亟待解决的问题。</w:t>
            </w:r>
          </w:p>
          <w:p w14:paraId="5E04DA0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本研究通过引入扩散模型（Diffusion Model），利用其主动生成自由度提取CycleGAN受限于循环一致性而无法暴露的残差身份特征作为身份认证的补充，并探索基于Diffusion优越的图生成能力的小样本数据增强开放集验证方案。</w:t>
            </w:r>
          </w:p>
          <w:p w14:paraId="4489300A">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4.2.1 可行性分析</w:t>
            </w:r>
          </w:p>
          <w:p w14:paraId="0997B2B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CycleGAN建立起了ACC与音频Audio的基础映射，但由于循环一致性损失的约束，模型在生成过程中会约束重建ACC频谱图的生成；并且，ACC信号存在天然的高频信息缺失特性，在建立的映射关系中，这部分内容仍然处于</w:t>
            </w:r>
            <w:r>
              <w:rPr>
                <w:rFonts w:hint="eastAsia"/>
                <w:color w:val="000000" w:themeColor="text1"/>
                <w:sz w:val="24"/>
                <w14:textFill>
                  <w14:solidFill>
                    <w14:schemeClr w14:val="tx1"/>
                  </w14:solidFill>
                </w14:textFill>
              </w:rPr>
              <w:t>缺失</w:t>
            </w:r>
            <w:r>
              <w:rPr>
                <w:color w:val="000000" w:themeColor="text1"/>
                <w:sz w:val="24"/>
                <w14:textFill>
                  <w14:solidFill>
                    <w14:schemeClr w14:val="tx1"/>
                  </w14:solidFill>
                </w14:textFill>
              </w:rPr>
              <w:t>状态，仅仅是通过语音的转化编码了一些语音相关的高频特征。而与此特性相反，是否存在另一种特征，使得模型在学习模态的转化中，通过模型学到的先验知识主动生成，尝试补充缺失频带，这种补充内容取决于头骨与软组织密度、佩戴特征，因此携带身份信息[4</w:t>
            </w:r>
            <w:r>
              <w:rPr>
                <w:rFonts w:hint="eastAsia"/>
                <w:color w:val="000000" w:themeColor="text1"/>
                <w:sz w:val="24"/>
                <w14:textFill>
                  <w14:solidFill>
                    <w14:schemeClr w14:val="tx1"/>
                  </w14:solidFill>
                </w14:textFill>
              </w:rPr>
              <w:t>0</w:t>
            </w:r>
            <w:r>
              <w:rPr>
                <w:color w:val="000000" w:themeColor="text1"/>
                <w:sz w:val="24"/>
                <w14:textFill>
                  <w14:solidFill>
                    <w14:schemeClr w14:val="tx1"/>
                  </w14:solidFill>
                </w14:textFill>
              </w:rPr>
              <w:t>]。而近期大火的扩散模型正具有这一特性。其在去噪过程中基于已经编码得到的生物特征，基于条件输入，做出了关于“应该补充什么特征”的概率推断。这个推断过程的中间去噪轨迹本身就是可利用的特征，包含了模型对用户生理结构的理解。</w:t>
            </w:r>
          </w:p>
          <w:p w14:paraId="10EA0A9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此外，Kwon等人发现扩散模型U-Net瓶颈层存在结构化的语义潜在空间（h-space），具有同质性、线性和跨时间步一致性，可直接用于语义操控，这意味着去噪轨迹中确实编码了有意义的结构信息。且Diffusion的多步去噪还提供了一种自然的特征分离机制，扩散模型U-Net的自注意力层的key/value特征在不同去噪时间步编码了不同层次的信息</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早期时间步编码全局结构，后期时间步编码身份相关的精细差异。这意味着可以选择性地从特定时间步提取身份特征，而传统图生成模型只有最终输出一个特征来源。因此，本研究引入条件扩散模型作为跨模态转化框架的补充，旨在利用其优越的生成能力与稳定的马尔可夫加噪-去噪范式，补充更丰富的身份生物特征。</w:t>
            </w:r>
          </w:p>
          <w:p w14:paraId="59678AFC">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而由于没有循环一致性的约束，对于一个从未见过的新用户，Diffusion模型可以通过重建特征及去噪过程中的中间表征来判断其是否是注册用户，具有在开放集验证的能力。</w:t>
            </w:r>
          </w:p>
          <w:p w14:paraId="5DDD2A7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本研究使用小样本数据集进行探索，发现通过扩散模型重建回来的Rec ACC并非原始 ACC的复刻，</w:t>
            </w:r>
            <w:r>
              <w:rPr>
                <w:rFonts w:hint="eastAsia"/>
                <w:color w:val="000000" w:themeColor="text1"/>
                <w:sz w:val="24"/>
                <w14:textFill>
                  <w14:solidFill>
                    <w14:schemeClr w14:val="tx1"/>
                  </w14:solidFill>
                </w14:textFill>
              </w:rPr>
              <w:t>相比于原始数据，</w:t>
            </w:r>
            <w:r>
              <w:rPr>
                <w:color w:val="000000" w:themeColor="text1"/>
                <w:sz w:val="24"/>
                <w14:textFill>
                  <w14:solidFill>
                    <w14:schemeClr w14:val="tx1"/>
                  </w14:solidFill>
                </w14:textFill>
              </w:rPr>
              <w:t>携带了一部分多余的结构内容。在传统视角下这被视为生成误差，但在本身份认证的特殊场景下，将其定义为</w:t>
            </w:r>
            <w:r>
              <w:rPr>
                <w:rFonts w:hint="eastAsia"/>
                <w:color w:val="000000" w:themeColor="text1"/>
                <w:sz w:val="24"/>
                <w14:textFill>
                  <w14:solidFill>
                    <w14:schemeClr w14:val="tx1"/>
                  </w14:solidFill>
                </w14:textFill>
              </w:rPr>
              <w:t>主动性</w:t>
            </w:r>
            <w:r>
              <w:rPr>
                <w:color w:val="000000" w:themeColor="text1"/>
                <w:sz w:val="24"/>
                <w14:textFill>
                  <w14:solidFill>
                    <w14:schemeClr w14:val="tx1"/>
                  </w14:solidFill>
                </w14:textFill>
              </w:rPr>
              <w:t>残差身份特征。由于骨传导 ACC 信号存在天然的信息缺失，通过独立训练两个方向的条件扩散模型，扩散模型在以 ACC 为条件生成 Audio、再逆向生成 ACC 的过程中，会基于其在海量数据中学习到的生成先验，尝试补充那些缺失的生理共振高频成分。由于每个用户的头骨密度与佩戴特征截然不同，这种由扩散模型强行补充出来的额外频带内容，实际上与用户独特的骨传导物理缺陷形成了高度的映射关系。由此可见，Diffusion确实有提取用户主动特征的能力。</w:t>
            </w:r>
          </w:p>
          <w:p w14:paraId="49CED9B2">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本研究通过提取这一重建差异统计量，以及在去噪过程中捕获的噪声预测模式特征，将其作为残差身份特征输入下游身份认证层。</w:t>
            </w:r>
          </w:p>
          <w:p w14:paraId="5C5FCD7D">
            <w:pPr>
              <w:pStyle w:val="9"/>
              <w:widowControl/>
              <w:spacing w:line="360" w:lineRule="auto"/>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05300" cy="3344545"/>
                  <wp:effectExtent l="12700" t="12700" r="12700" b="8255"/>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15"/>
                          <a:srcRect t="2877"/>
                          <a:stretch>
                            <a:fillRect/>
                          </a:stretch>
                        </pic:blipFill>
                        <pic:spPr>
                          <a:xfrm>
                            <a:off x="0" y="0"/>
                            <a:ext cx="4305300" cy="3344545"/>
                          </a:xfrm>
                          <a:prstGeom prst="rect">
                            <a:avLst/>
                          </a:prstGeom>
                          <a:noFill/>
                          <a:ln w="9525" cap="flat" cmpd="sng" algn="ctr">
                            <a:solidFill>
                              <a:sysClr val="windowText" lastClr="000000"/>
                            </a:solidFill>
                            <a:prstDash val="solid"/>
                            <a:round/>
                            <a:headEnd type="none" w="med" len="med"/>
                            <a:tailEnd type="none" w="med" len="med"/>
                          </a:ln>
                        </pic:spPr>
                      </pic:pic>
                    </a:graphicData>
                  </a:graphic>
                </wp:inline>
              </w:drawing>
            </w:r>
          </w:p>
          <w:p w14:paraId="7F0733E7">
            <w:pPr>
              <w:spacing w:line="360" w:lineRule="auto"/>
              <w:ind w:firstLine="480" w:firstLineChars="20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4-10</w:t>
            </w:r>
            <w:r>
              <w:rPr>
                <w:color w:val="000000" w:themeColor="text1"/>
                <w:sz w:val="24"/>
                <w14:textFill>
                  <w14:solidFill>
                    <w14:schemeClr w14:val="tx1"/>
                  </w14:solidFill>
                </w14:textFill>
              </w:rPr>
              <w:t>：经过D</w:t>
            </w:r>
            <w:r>
              <w:rPr>
                <w:rFonts w:hint="eastAsia"/>
                <w:color w:val="000000" w:themeColor="text1"/>
                <w:sz w:val="24"/>
                <w14:textFill>
                  <w14:solidFill>
                    <w14:schemeClr w14:val="tx1"/>
                  </w14:solidFill>
                </w14:textFill>
              </w:rPr>
              <w:t>iffusion</w:t>
            </w:r>
            <w:r>
              <w:rPr>
                <w:color w:val="000000" w:themeColor="text1"/>
                <w:sz w:val="24"/>
                <w14:textFill>
                  <w14:solidFill>
                    <w14:schemeClr w14:val="tx1"/>
                  </w14:solidFill>
                </w14:textFill>
              </w:rPr>
              <w:t>进行模态转化的ACC与Audio图</w:t>
            </w:r>
          </w:p>
          <w:p w14:paraId="63ADC50A">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4.2.2 基于Diffusion的模态转化</w:t>
            </w:r>
          </w:p>
          <w:p w14:paraId="191E3962">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本架构构建了两个独立且对称的基于U-Net的条件扩散模型，分别处理双向的跨模态映射，Audio生成方向模型架构如图9。</w:t>
            </w:r>
          </w:p>
          <w:p w14:paraId="3D6720AD">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（1）架构设计</w:t>
            </w:r>
          </w:p>
          <w:p w14:paraId="50F372C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Audio生成方向，以 ACC 频谱图作为先验条件信号，指导纯噪声逐步去噪生成高逼真度的 Audio 频谱图。</w:t>
            </w:r>
          </w:p>
          <w:p w14:paraId="7CFEE96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ACC生成方向模型，以 Audio 频谱图为条件，逆向生成对应的 ACC 骨传导频谱图。</w:t>
            </w:r>
          </w:p>
          <w:p w14:paraId="43F13B3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在扩散分支的具体设计上，模型采用对称的定制化 U-Net 结构分别实现 ACC 与 Audio 之间的双向条件去噪映射。为高度保留时频图特有的二维共振峰与谐波拓扑结构，本研究在常规均方误差（Mean Squared Error, MSE）目标函数的基础上，创新性地联合了结构相似性损失（Structural Similarity Index Measure, SSIM）。该联合损失函数强制网络在像素级降噪的同时，严密维持跨模态物理信号的结构一致性。</w:t>
            </w:r>
          </w:p>
          <w:p w14:paraId="5F1C1BF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此外，为化解扩散模型推理缓慢的工程瓶颈，系统引入了去噪扩散隐式模型（Denoising Diffusion Implicit Model, DDIM）机制，通过跳步非马尔可夫采样，将长达千步的去噪轨迹大幅压缩，在确保特征提取精度的前提下满足了 VR 隐式认证对低延迟的要求。</w:t>
            </w:r>
          </w:p>
          <w:p w14:paraId="3A1DAF0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829300" cy="2529205"/>
                  <wp:effectExtent l="12700" t="12700" r="12700" b="10795"/>
                  <wp:docPr id="153656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62506" name="图片 1"/>
                          <pic:cNvPicPr>
                            <a:picLocks noChangeAspect="1"/>
                          </pic:cNvPicPr>
                        </pic:nvPicPr>
                        <pic:blipFill>
                          <a:blip r:embed="rId16"/>
                          <a:stretch>
                            <a:fillRect/>
                          </a:stretch>
                        </pic:blipFill>
                        <pic:spPr>
                          <a:xfrm>
                            <a:off x="0" y="0"/>
                            <a:ext cx="5849506" cy="2538145"/>
                          </a:xfrm>
                          <a:prstGeom prst="rect">
                            <a:avLst/>
                          </a:prstGeom>
                          <a:ln>
                            <a:solidFill>
                              <a:schemeClr val="tx1"/>
                            </a:solidFill>
                          </a:ln>
                        </pic:spPr>
                      </pic:pic>
                    </a:graphicData>
                  </a:graphic>
                </wp:inline>
              </w:drawing>
            </w:r>
          </w:p>
          <w:p w14:paraId="6BFF7C72">
            <w:pPr>
              <w:spacing w:line="360" w:lineRule="auto"/>
              <w:ind w:firstLine="480" w:firstLineChars="20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4-11</w:t>
            </w:r>
            <w:r>
              <w:rPr>
                <w:color w:val="000000" w:themeColor="text1"/>
                <w:sz w:val="24"/>
                <w14:textFill>
                  <w14:solidFill>
                    <w14:schemeClr w14:val="tx1"/>
                  </w14:solidFill>
                </w14:textFill>
              </w:rPr>
              <w:t>：Diffusion模型架构图</w:t>
            </w:r>
          </w:p>
          <w:p w14:paraId="5E6A6743">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（2）损失函数</w:t>
            </w:r>
          </w:p>
          <w:p w14:paraId="26CD2722">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在标准的去噪目标函数基础上，联合结构相似性损失以增强物理信号的结构一致性。去噪目标函数采用均方误差（MSE）计算噪声预测网络的预测噪声与真实添加噪声之间的差异，其损失函数定义为：</w:t>
            </w:r>
          </w:p>
          <w:p w14:paraId="5BD5D26F">
            <w:pPr>
              <w:spacing w:line="360" w:lineRule="auto"/>
              <w:ind w:firstLine="600" w:firstLineChars="250"/>
              <w:jc w:val="center"/>
              <w:rPr>
                <w:color w:val="000000" w:themeColor="text1"/>
                <w:sz w:val="24"/>
                <w14:textFill>
                  <w14:solidFill>
                    <w14:schemeClr w14:val="tx1"/>
                  </w14:solidFill>
                </w14:textFill>
              </w:rPr>
            </w:pPr>
            <m:oMath>
              <m:sSub>
                <m:sSubPr>
                  <m:ctrlPr>
                    <w:rPr>
                      <w:rFonts w:ascii="Cambria Math" w:hAnsi="Cambria Math"/>
                      <w:i/>
                      <w:color w:val="000000" w:themeColor="text1"/>
                      <w:sz w:val="24"/>
                      <w14:textFill>
                        <w14:solidFill>
                          <w14:schemeClr w14:val="tx1"/>
                        </w14:solidFill>
                      </w14:textFill>
                    </w:rPr>
                  </m:ctrlPr>
                </m:sSubPr>
                <m:e>
                  <m:r>
                    <m:rPr>
                      <m:scr m:val="script"/>
                    </m:rPr>
                    <w:rPr>
                      <w:rFonts w:ascii="Cambria Math" w:hAnsi="Cambria Math"/>
                      <w:color w:val="000000" w:themeColor="text1"/>
                      <w:sz w:val="24"/>
                      <w14:textFill>
                        <w14:solidFill>
                          <w14:schemeClr w14:val="tx1"/>
                        </w14:solidFill>
                      </w14:textFill>
                    </w:rPr>
                    <m:t>ℒ</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denoise</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m:scr m:val="double-struck"/>
                    </m:rPr>
                    <w:rPr>
                      <w:rFonts w:ascii="Cambria Math" w:hAnsi="Cambria Math"/>
                      <w:color w:val="000000" w:themeColor="text1"/>
                      <w:sz w:val="24"/>
                      <w14:textFill>
                        <w14:solidFill>
                          <w14:schemeClr w14:val="tx1"/>
                        </w14:solidFill>
                      </w14:textFill>
                    </w:rPr>
                    <m:t>E</m:t>
                  </m:r>
                  <m:ctrlPr>
                    <w:rPr>
                      <w:rFonts w:ascii="Cambria Math" w:hAnsi="Cambria Math"/>
                      <w:i/>
                      <w:color w:val="000000" w:themeColor="text1"/>
                      <w:sz w:val="24"/>
                      <w14:textFill>
                        <w14:solidFill>
                          <w14:schemeClr w14:val="tx1"/>
                        </w14:solidFill>
                      </w14:textFill>
                    </w:rPr>
                  </m:ctrlPr>
                </m:e>
                <m:sub>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0</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,ϵ,t</m:t>
                  </m:r>
                  <m:ctrlPr>
                    <w:rPr>
                      <w:rFonts w:ascii="Cambria Math" w:hAnsi="Cambria Math"/>
                      <w:i/>
                      <w:color w:val="000000" w:themeColor="text1"/>
                      <w:sz w:val="24"/>
                      <w14:textFill>
                        <w14:solidFill>
                          <w14:schemeClr w14:val="tx1"/>
                        </w14:solidFill>
                      </w14:textFill>
                    </w:rPr>
                  </m:ctrlPr>
                </m:sub>
              </m:sSub>
              <m:d>
                <m:dPr>
                  <m:begChr m:val="["/>
                  <m:endChr m:val="]"/>
                  <m:ctrlPr>
                    <w:rPr>
                      <w:rFonts w:ascii="Cambria Math" w:hAnsi="Cambria Math"/>
                      <w:i/>
                      <w:color w:val="000000" w:themeColor="text1"/>
                      <w:sz w:val="24"/>
                      <w14:textFill>
                        <w14:solidFill>
                          <w14:schemeClr w14:val="tx1"/>
                        </w14:solidFill>
                      </w14:textFill>
                    </w:rPr>
                  </m:ctrlPr>
                </m:dPr>
                <m:e>
                  <m:sSup>
                    <m:sSupPr>
                      <m:ctrlPr>
                        <w:rPr>
                          <w:rFonts w:ascii="Cambria Math" w:hAnsi="Cambria Math"/>
                          <w:i/>
                          <w:color w:val="000000" w:themeColor="text1"/>
                          <w:sz w:val="24"/>
                          <w14:textFill>
                            <w14:solidFill>
                              <w14:schemeClr w14:val="tx1"/>
                            </w14:solidFill>
                          </w14:textFill>
                        </w:rPr>
                      </m:ctrlPr>
                    </m:sSupPr>
                    <m:e>
                      <m:d>
                        <m:dPr>
                          <m:begChr m:val="‖"/>
                          <m:endChr m:val="‖"/>
                          <m:ctrlPr>
                            <w:rPr>
                              <w:rFonts w:ascii="Cambria Math" w:hAnsi="Cambria Math"/>
                              <w:i/>
                              <w:color w:val="000000" w:themeColor="text1"/>
                              <w:sz w:val="24"/>
                              <w14:textFill>
                                <w14:solidFill>
                                  <w14:schemeClr w14:val="tx1"/>
                                </w14:solidFill>
                              </w14:textFill>
                            </w:rPr>
                          </m:ctrlPr>
                        </m:dPr>
                        <m:e>
                          <m:r>
                            <m:rPr/>
                            <w:rPr>
                              <w:rFonts w:ascii="Cambria Math" w:hAnsi="Cambria Math"/>
                              <w:color w:val="000000" w:themeColor="text1"/>
                              <w:sz w:val="24"/>
                              <w14:textFill>
                                <w14:solidFill>
                                  <w14:schemeClr w14:val="tx1"/>
                                </w14:solidFill>
                              </w14:textFill>
                            </w:rPr>
                            <m:t>ϵ−</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ϵ</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θ</m:t>
                              </m:r>
                              <m:ctrlPr>
                                <w:rPr>
                                  <w:rFonts w:ascii="Cambria Math" w:hAnsi="Cambria Math"/>
                                  <w:i/>
                                  <w:color w:val="000000" w:themeColor="text1"/>
                                  <w:sz w:val="24"/>
                                  <w14:textFill>
                                    <w14:solidFill>
                                      <w14:schemeClr w14:val="tx1"/>
                                    </w14:solidFill>
                                  </w14:textFill>
                                </w:rPr>
                              </m:ctrlPr>
                            </m:sub>
                          </m:sSub>
                          <m:d>
                            <m:dPr>
                              <m:ctrlPr>
                                <w:rPr>
                                  <w:rFonts w:ascii="Cambria Math" w:hAnsi="Cambria Math"/>
                                  <w:i/>
                                  <w:color w:val="000000" w:themeColor="text1"/>
                                  <w:sz w:val="24"/>
                                  <w14:textFill>
                                    <w14:solidFill>
                                      <w14:schemeClr w14:val="tx1"/>
                                    </w14:solidFill>
                                  </w14:textFill>
                                </w:rPr>
                              </m:ctrlPr>
                            </m:d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,t,c</m:t>
                              </m: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p>
                  </m:sSup>
                  <m:ctrlPr>
                    <w:rPr>
                      <w:rFonts w:ascii="Cambria Math" w:hAnsi="Cambria Math"/>
                      <w:i/>
                      <w:color w:val="000000" w:themeColor="text1"/>
                      <w:sz w:val="24"/>
                      <w14:textFill>
                        <w14:solidFill>
                          <w14:schemeClr w14:val="tx1"/>
                        </w14:solidFill>
                      </w14:textFill>
                    </w:rPr>
                  </m:ctrlPr>
                </m:e>
              </m:d>
              <m:r>
                <m:rPr/>
                <w:rPr>
                  <w:rFonts w:ascii="Cambria Math" w:hAnsi="Cambria Math"/>
                  <w:color w:val="000000" w:themeColor="text1"/>
                  <w:sz w:val="24"/>
                  <w14:textFill>
                    <w14:solidFill>
                      <w14:schemeClr w14:val="tx1"/>
                    </w14:solidFill>
                  </w14:textFill>
                </w:rPr>
                <m:t xml:space="preserve"> </m:t>
              </m:r>
            </m:oMath>
            <w:r>
              <w:rPr>
                <w:color w:val="000000" w:themeColor="text1"/>
                <w:sz w:val="24"/>
                <w14:textFill>
                  <w14:solidFill>
                    <w14:schemeClr w14:val="tx1"/>
                  </w14:solidFill>
                </w14:textFill>
              </w:rPr>
              <w:t>(4-11)</w:t>
            </w:r>
          </w:p>
          <w:p w14:paraId="219241D4">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其中 x_t 为在时间步t向原始信号 x_0 添加噪声后的加噪信号，ε为添加的高斯噪声，c 为条件信号。结构相似性损失（SSIM Loss）则强制网络在像素级降噪的同时，严密维持跨模态物理信号在亮度、对比度和结构三个维度上的一致性，防止去噪过程破坏时频图特有的共振峰与谐波拓扑结构。总损失函数定义为：</w:t>
            </w:r>
          </w:p>
          <w:p w14:paraId="634F54DF">
            <w:pPr>
              <w:spacing w:line="360" w:lineRule="auto"/>
              <w:ind w:firstLine="600" w:firstLineChars="250"/>
              <w:jc w:val="center"/>
              <w:rPr>
                <w:color w:val="000000" w:themeColor="text1"/>
                <w:sz w:val="24"/>
                <w14:textFill>
                  <w14:solidFill>
                    <w14:schemeClr w14:val="tx1"/>
                  </w14:solidFill>
                </w14:textFill>
              </w:rPr>
            </w:pPr>
            <m:oMath>
              <m:sSubSup>
                <m:sSubSupPr>
                  <m:ctrlPr>
                    <w:rPr>
                      <w:rFonts w:ascii="Cambria Math" w:hAnsi="Cambria Math"/>
                      <w:i/>
                      <w:color w:val="000000" w:themeColor="text1"/>
                      <w:sz w:val="24"/>
                      <w14:textFill>
                        <w14:solidFill>
                          <w14:schemeClr w14:val="tx1"/>
                        </w14:solidFill>
                      </w14:textFill>
                    </w:rPr>
                  </m:ctrlPr>
                </m:sSubSupPr>
                <m:e>
                  <m:r>
                    <m:rPr>
                      <m:scr m:val="script"/>
                    </m:rPr>
                    <w:rPr>
                      <w:rFonts w:ascii="Cambria Math" w:hAnsi="Cambria Math"/>
                      <w:color w:val="000000" w:themeColor="text1"/>
                      <w:sz w:val="24"/>
                      <w14:textFill>
                        <w14:solidFill>
                          <w14:schemeClr w14:val="tx1"/>
                        </w14:solidFill>
                      </w14:textFill>
                    </w:rPr>
                    <m:t>ℒ</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total</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Diff</m:t>
                  </m:r>
                  <m:ctrlPr>
                    <w:rPr>
                      <w:rFonts w:ascii="Cambria Math" w:hAnsi="Cambria Math"/>
                      <w:i/>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m:scr m:val="script"/>
                    </m:rPr>
                    <w:rPr>
                      <w:rFonts w:ascii="Cambria Math" w:hAnsi="Cambria Math"/>
                      <w:color w:val="000000" w:themeColor="text1"/>
                      <w:sz w:val="24"/>
                      <w14:textFill>
                        <w14:solidFill>
                          <w14:schemeClr w14:val="tx1"/>
                        </w14:solidFill>
                      </w14:textFill>
                    </w:rPr>
                    <m:t>ℒ</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denoise</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λ</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ssim</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m:scr m:val="script"/>
                    </m:rPr>
                    <w:rPr>
                      <w:rFonts w:ascii="Cambria Math" w:hAnsi="Cambria Math"/>
                      <w:color w:val="000000" w:themeColor="text1"/>
                      <w:sz w:val="24"/>
                      <w14:textFill>
                        <w14:solidFill>
                          <w14:schemeClr w14:val="tx1"/>
                        </w14:solidFill>
                      </w14:textFill>
                    </w:rPr>
                    <m:t>ℒ</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SSIM</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(4-12)</w:t>
            </w:r>
          </w:p>
          <w:p w14:paraId="07CF2562">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（3）推理加速</w:t>
            </w:r>
          </w:p>
          <w:p w14:paraId="4BF046AF">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为化解扩散模型推理缓慢的工程瓶颈，系统引入DDIM机制。DDIM通过非马尔可夫跳步采样，将训练时长达千步的去噪轨迹压缩至推理时的20步，在确保特征提取精度的前提下满足VR隐式认证对低延迟的要求。</w:t>
            </w:r>
          </w:p>
          <w:p w14:paraId="2A80DBBC">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（4）多层次特征提取</w:t>
            </w:r>
          </w:p>
          <w:p w14:paraId="16534007">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基于训练完成的条件扩散模型，本研究设计以下三个层次的身份特征提取策略，与4.1节CycleGAN提取的三源特征形成多源融合体系，并在实际训练场景中。</w:t>
            </w:r>
          </w:p>
          <w:p w14:paraId="2D0DDB5E">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链式重建残差特征（Diff_cycle_features）：对输入ACC信号执行单向的完整链式重建，计算残差。对残差频谱图沿频率和时间维度分别提取多维统计量（均值、标准差、分位数、峰度），构成反映用户骨传导物理缺陷模式的残差特征向量。</w:t>
            </w:r>
          </w:p>
          <w:p w14:paraId="72F1627C">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去噪轨迹特征（h-space features）：在链式重建过程中，提取扩散U-Net在选定时间步（t</w:t>
            </w:r>
            <w:r>
              <w:rPr>
                <w:rFonts w:ascii="Cambria Math" w:hAnsi="Cambria Math" w:cs="Cambria Math"/>
                <w:color w:val="000000" w:themeColor="text1"/>
                <w:sz w:val="24"/>
                <w14:textFill>
                  <w14:solidFill>
                    <w14:schemeClr w14:val="tx1"/>
                  </w14:solidFill>
                </w14:textFill>
              </w:rPr>
              <w:t>∈</w:t>
            </w:r>
            <w:r>
              <w:rPr>
                <w:color w:val="000000" w:themeColor="text1"/>
                <w:sz w:val="24"/>
                <w14:textFill>
                  <w14:solidFill>
                    <w14:schemeClr w14:val="tx1"/>
                  </w14:solidFill>
                </w14:textFill>
              </w:rPr>
              <w:t>{T/4, T/2, 3T/4}）的瓶颈层激活图。不同时间步的h-space特征编码了从粗粒度韵律结构到细粒度声学纹理的不同层级信息，通过自适应池化统一维度后拼接为去噪轨迹特征向量。</w:t>
            </w:r>
          </w:p>
          <w:p w14:paraId="27B73D42">
            <w:pPr>
              <w:spacing w:line="360" w:lineRule="auto"/>
              <w:ind w:firstLine="600" w:firstLineChars="250"/>
              <w:rPr>
                <w:color w:val="000000" w:themeColor="text1"/>
                <w:sz w:val="24"/>
                <w14:textFill>
                  <w14:solidFill>
                    <w14:schemeClr w14:val="tx1"/>
                  </w14:solidFill>
                </w14:textFill>
              </w:rPr>
            </w:pPr>
            <w:r>
              <w:rPr>
                <w:color w:val="000000" w:themeColor="text1"/>
                <w:sz w:val="24"/>
                <w14:textFill>
                  <w14:solidFill>
                    <w14:schemeClr w14:val="tx1"/>
                  </w14:solidFill>
                </w14:textFill>
              </w:rPr>
              <w:t>噪声预测模式特征（Noise prediction features）：提取噪声预测网络在不同时间步的预测输出，计算其与实际添加噪声之间的残差模式，因为扩散模型的噪声预测在不同类别输入上表现出系统性差异。</w:t>
            </w:r>
          </w:p>
          <w:p w14:paraId="21F7AE90">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4.2.3面向实际应用场景的开放集认证</w:t>
            </w:r>
          </w:p>
          <w:p w14:paraId="23663221">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在传统的生物特征认证研究中，多采用收集大量异构多用户数据进行对比学习的方法来划分身份边界。然而，在实际的消费级 VR 场景中，要求设备预先采集大量不同个体的真实生物数据以训练防伪空间，不仅在工程部署上极不现实，更面临严峻的隐私合规挑战。</w:t>
            </w:r>
          </w:p>
          <w:p w14:paraId="51F7FA3B">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鉴于此局限性，本研究提出一种单用户开</w:t>
            </w:r>
            <w:r>
              <w:rPr>
                <w:rFonts w:hint="eastAsia"/>
                <w:color w:val="000000" w:themeColor="text1"/>
                <w:sz w:val="24"/>
                <w14:textFill>
                  <w14:solidFill>
                    <w14:schemeClr w14:val="tx1"/>
                  </w14:solidFill>
                </w14:textFill>
              </w:rPr>
              <w:t>放</w:t>
            </w:r>
            <w:r>
              <w:rPr>
                <w:color w:val="000000" w:themeColor="text1"/>
                <w:sz w:val="24"/>
                <w14:textFill>
                  <w14:solidFill>
                    <w14:schemeClr w14:val="tx1"/>
                  </w14:solidFill>
                </w14:textFill>
              </w:rPr>
              <w:t>集验证认证方式。核心思路是将身份认证问题重新形式化为单类异常检测（One-Class Classification, OCC）任务。仅利用注册者的数据构建正类分布模型，将所有偏离该分布的信号判定为异常。这一范式转换的理论依据在于，在生物特征认证场景中，攻击者的分布是开放且未知的，单类方法不依赖特定攻击模式的先验知识，对未知攻击类型具有更好的泛化能力。并提升了系统的落地性。</w:t>
            </w:r>
          </w:p>
          <w:p w14:paraId="7DB9A5BF">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（1）正类分布建模</w:t>
            </w:r>
          </w:p>
          <w:p w14:paraId="054D9B2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在注册阶段，</w:t>
            </w:r>
            <w:r>
              <w:rPr>
                <w:rFonts w:hint="eastAsia"/>
                <w:color w:val="000000" w:themeColor="text1"/>
                <w:sz w:val="24"/>
                <w14:textFill>
                  <w14:solidFill>
                    <w14:schemeClr w14:val="tx1"/>
                  </w14:solidFill>
                </w14:textFill>
              </w:rPr>
              <w:t>注册者</w:t>
            </w:r>
            <w:r>
              <w:rPr>
                <w:color w:val="000000" w:themeColor="text1"/>
                <w:sz w:val="24"/>
                <w14:textFill>
                  <w14:solidFill>
                    <w14:schemeClr w14:val="tx1"/>
                  </w14:solidFill>
                </w14:textFill>
              </w:rPr>
              <w:t>佩戴VR头显进行多组语音交互，</w:t>
            </w:r>
            <w:r>
              <w:rPr>
                <w:rFonts w:hint="eastAsia"/>
                <w:color w:val="000000" w:themeColor="text1"/>
                <w:sz w:val="24"/>
                <w14:textFill>
                  <w14:solidFill>
                    <w14:schemeClr w14:val="tx1"/>
                  </w14:solidFill>
                </w14:textFill>
              </w:rPr>
              <w:t>设备</w:t>
            </w:r>
            <w:r>
              <w:rPr>
                <w:color w:val="000000" w:themeColor="text1"/>
                <w:sz w:val="24"/>
                <w14:textFill>
                  <w14:solidFill>
                    <w14:schemeClr w14:val="tx1"/>
                  </w14:solidFill>
                </w14:textFill>
              </w:rPr>
              <w:t>隐式采集ACC与Audio配对数据，通过</w:t>
            </w:r>
            <w:r>
              <w:rPr>
                <w:rFonts w:hint="eastAsia"/>
                <w:color w:val="000000" w:themeColor="text1"/>
                <w:sz w:val="24"/>
                <w14:textFill>
                  <w14:solidFill>
                    <w14:schemeClr w14:val="tx1"/>
                  </w14:solidFill>
                </w14:textFill>
              </w:rPr>
              <w:t>训练好的模态转化模型进行特</w:t>
            </w:r>
            <w:r>
              <w:rPr>
                <w:color w:val="000000" w:themeColor="text1"/>
                <w:sz w:val="24"/>
                <w14:textFill>
                  <w14:solidFill>
                    <w14:schemeClr w14:val="tx1"/>
                  </w14:solidFill>
                </w14:textFill>
              </w:rPr>
              <w:t>征提取流程获得一组融合特征向量集合</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F</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pos</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d>
                <m:dPr>
                  <m:begChr m:val="{"/>
                  <m:endChr m:val="}"/>
                  <m:ctrlPr>
                    <w:rPr>
                      <w:rFonts w:ascii="Cambria Math" w:hAnsi="Cambria Math"/>
                      <w:i/>
                      <w:color w:val="000000" w:themeColor="text1"/>
                      <w:sz w:val="24"/>
                      <w14:textFill>
                        <w14:solidFill>
                          <w14:schemeClr w14:val="tx1"/>
                        </w14:solidFill>
                      </w14:textFill>
                    </w:rPr>
                  </m:ctrlPr>
                </m:d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f</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f</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 …,</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f</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d>
            </m:oMath>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该集合构成注册者的正类特征分布。</w:t>
            </w:r>
          </w:p>
          <w:p w14:paraId="71B5E9E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正类分布的建模采用Deep SVDD（Support Vector Data Description）框架：训练一个深度网络将正类特征映射到超球面空间中的紧致区域，通过最小化所有正类样本到预设球心 c 的距离来学习数据的紧致表示。核心损失函数定义为：</w:t>
            </w:r>
          </w:p>
          <w:p w14:paraId="04A5E3F2">
            <w:pPr>
              <w:spacing w:line="360" w:lineRule="auto"/>
              <w:ind w:firstLine="480" w:firstLineChars="200"/>
              <w:jc w:val="center"/>
              <w:rPr>
                <w:color w:val="000000" w:themeColor="text1"/>
                <w:sz w:val="24"/>
                <w14:textFill>
                  <w14:solidFill>
                    <w14:schemeClr w14:val="tx1"/>
                  </w14:solidFill>
                </w14:textFill>
              </w:rPr>
            </w:pP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SVDD</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f>
                <m:fPr>
                  <m:ctrlPr>
                    <w:rPr>
                      <w:rFonts w:ascii="Cambria Math" w:hAnsi="Cambria Math"/>
                      <w:color w:val="000000" w:themeColor="text1"/>
                      <w:sz w:val="24"/>
                      <w14:textFill>
                        <w14:solidFill>
                          <w14:schemeClr w14:val="tx1"/>
                        </w14:solidFill>
                      </w14:textFill>
                    </w:rPr>
                  </m:ctrlPr>
                </m:fPr>
                <m:num>
                  <m:r>
                    <m:rPr/>
                    <w:rPr>
                      <w:rFonts w:ascii="Cambria Math" w:hAns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num>
                <m:den>
                  <m:r>
                    <m:rPr/>
                    <w:rPr>
                      <w:rFonts w:ascii="Cambria Math" w:hAns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den>
              </m:f>
              <m:nary>
                <m:naryPr>
                  <m:chr m:val="∑"/>
                  <m:ctrlPr>
                    <w:rPr>
                      <w:rFonts w:ascii="Cambria Math" w:hAnsi="Cambria Math"/>
                      <w:color w:val="000000" w:themeColor="text1"/>
                      <w:sz w:val="24"/>
                      <w14:textFill>
                        <w14:solidFill>
                          <w14:schemeClr w14:val="tx1"/>
                        </w14:solidFill>
                      </w14:textFill>
                    </w:rPr>
                  </m:ctrlPr>
                </m:naryPr>
                <m:sub>
                  <m:r>
                    <m:rPr/>
                    <w:rPr>
                      <w:rFonts w:ascii="Cambria Math" w:hAnsi="Cambria Math"/>
                      <w:color w:val="000000" w:themeColor="text1"/>
                      <w:sz w:val="24"/>
                      <w14:textFill>
                        <w14:solidFill>
                          <w14:schemeClr w14:val="tx1"/>
                        </w14:solidFill>
                      </w14:textFill>
                    </w:rPr>
                    <m:t>i=1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sup>
                <m:e>
                  <m:sSup>
                    <m:sSupPr>
                      <m:ctrlPr>
                        <w:rPr>
                          <w:rFonts w:ascii="Cambria Math" w:hAnsi="Cambria Math"/>
                          <w:i/>
                          <w:color w:val="000000" w:themeColor="text1"/>
                          <w:sz w:val="24"/>
                          <w14:textFill>
                            <w14:solidFill>
                              <w14:schemeClr w14:val="tx1"/>
                            </w14:solidFill>
                          </w14:textFill>
                        </w:rPr>
                      </m:ctrlPr>
                    </m:sSupPr>
                    <m:e>
                      <m:d>
                        <m:dPr>
                          <m:begChr m:val="‖"/>
                          <m:endChr m:val="‖"/>
                          <m:ctrlPr>
                            <w:rPr>
                              <w:rFonts w:ascii="Cambria Math" w:hAnsi="Cambria Math"/>
                              <w:i/>
                              <w:color w:val="000000" w:themeColor="text1"/>
                              <w:sz w:val="24"/>
                              <w14:textFill>
                                <w14:solidFill>
                                  <w14:schemeClr w14:val="tx1"/>
                                </w14:solidFill>
                              </w14:textFill>
                            </w:rPr>
                          </m:ctrlPr>
                        </m:dPr>
                        <m:e>
                          <m:sSub>
                            <m:sSubPr>
                              <m:ctrlPr>
                                <w:rPr>
                                  <w:rFonts w:ascii="Cambria Math" w:hAnsi="Cambria Math"/>
                                  <w:i/>
                                  <w:color w:val="000000" w:themeColor="text1"/>
                                  <w:sz w:val="24"/>
                                  <w14:textFill>
                                    <w14:solidFill>
                                      <w14:schemeClr w14:val="tx1"/>
                                    </w14:solidFill>
                                  </w14:textFill>
                                </w:rPr>
                              </m:ctrlPr>
                            </m:sSubPr>
                            <m:e>
                              <m:r>
                                <m:rPr>
                                  <m:sty m:val="p"/>
                                </m:rPr>
                                <w:rPr>
                                  <w:rFonts w:ascii="Cambria Math" w:hAnsi="Cambria Math"/>
                                  <w:color w:val="000000" w:themeColor="text1"/>
                                  <w:sz w:val="24"/>
                                  <w14:textFill>
                                    <w14:solidFill>
                                      <w14:schemeClr w14:val="tx1"/>
                                    </w14:solidFill>
                                  </w14:textFill>
                                </w:rPr>
                                <m:t>φ</m:t>
                              </m:r>
                              <m:ctrlPr>
                                <w:rPr>
                                  <w:rFonts w:ascii="Cambria Math" w:hAnsi="Cambria Math"/>
                                  <w:i/>
                                  <w:color w:val="000000" w:themeColor="text1"/>
                                  <w:sz w:val="24"/>
                                  <w14:textFill>
                                    <w14:solidFill>
                                      <w14:schemeClr w14:val="tx1"/>
                                    </w14:solidFill>
                                  </w14:textFill>
                                </w:rPr>
                              </m:ctrlPr>
                            </m:e>
                            <m:sub>
                              <m:r>
                                <m:rPr>
                                  <m:sty m:val="p"/>
                                </m:rPr>
                                <w:rPr>
                                  <w:rFonts w:ascii="Cambria Math" w:hAnsi="Cambria Math"/>
                                  <w:color w:val="000000" w:themeColor="text1"/>
                                  <w:sz w:val="24"/>
                                  <w14:textFill>
                                    <w14:solidFill>
                                      <w14:schemeClr w14:val="tx1"/>
                                    </w14:solidFill>
                                  </w14:textFill>
                                </w:rPr>
                                <m:t>θ</m:t>
                              </m:r>
                              <m:ctrlPr>
                                <w:rPr>
                                  <w:rFonts w:ascii="Cambria Math" w:hAnsi="Cambria Math"/>
                                  <w:i/>
                                  <w:color w:val="000000" w:themeColor="text1"/>
                                  <w:sz w:val="24"/>
                                  <w14:textFill>
                                    <w14:solidFill>
                                      <w14:schemeClr w14:val="tx1"/>
                                    </w14:solidFill>
                                  </w14:textFill>
                                </w:rPr>
                              </m:ctrlPr>
                            </m:sub>
                          </m:sSub>
                          <m:d>
                            <m:dPr>
                              <m:ctrlPr>
                                <w:rPr>
                                  <w:rFonts w:ascii="Cambria Math" w:hAnsi="Cambria Math"/>
                                  <w:i/>
                                  <w:color w:val="000000" w:themeColor="text1"/>
                                  <w:sz w:val="24"/>
                                  <w14:textFill>
                                    <w14:solidFill>
                                      <w14:schemeClr w14:val="tx1"/>
                                    </w14:solidFill>
                                  </w14:textFill>
                                </w:rPr>
                              </m:ctrlPr>
                            </m:d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f</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d>
                          <m:r>
                            <m:rPr/>
                            <w:rPr>
                              <w:rFonts w:ascii="Cambria Math" w:hAns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p>
                  </m:sSup>
                  <m:ctrlPr>
                    <w:rPr>
                      <w:rFonts w:ascii="Cambria Math" w:hAnsi="Cambria Math"/>
                      <w:i/>
                      <w:color w:val="000000" w:themeColor="text1"/>
                      <w:sz w:val="24"/>
                      <w14:textFill>
                        <w14:solidFill>
                          <w14:schemeClr w14:val="tx1"/>
                        </w14:solidFill>
                      </w14:textFill>
                    </w:rPr>
                  </m:ctrlPr>
                </m:e>
              </m:nary>
            </m:oMath>
            <w:r>
              <w:rPr>
                <w:color w:val="000000" w:themeColor="text1"/>
                <w:sz w:val="24"/>
                <w14:textFill>
                  <w14:solidFill>
                    <w14:schemeClr w14:val="tx1"/>
                  </w14:solidFill>
                </w14:textFill>
              </w:rPr>
              <w:tab/>
            </w:r>
            <w:r>
              <w:rPr>
                <w:color w:val="000000" w:themeColor="text1"/>
                <w:sz w:val="24"/>
                <w14:textFill>
                  <w14:solidFill>
                    <w14:schemeClr w14:val="tx1"/>
                  </w14:solidFill>
                </w14:textFill>
              </w:rPr>
              <w:t>(4-13)</w:t>
            </w:r>
          </w:p>
          <w:p w14:paraId="78CDCEC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其中球心 c 通常初始化为正类特征的均值。该损失函数驱使网络学习一个映射，使得</w:t>
            </w:r>
            <w:r>
              <w:rPr>
                <w:rFonts w:hint="eastAsia"/>
                <w:color w:val="000000" w:themeColor="text1"/>
                <w:sz w:val="24"/>
                <w14:textFill>
                  <w14:solidFill>
                    <w14:schemeClr w14:val="tx1"/>
                  </w14:solidFill>
                </w14:textFill>
              </w:rPr>
              <w:t>注册者</w:t>
            </w:r>
            <w:r>
              <w:rPr>
                <w:color w:val="000000" w:themeColor="text1"/>
                <w:sz w:val="24"/>
                <w14:textFill>
                  <w14:solidFill>
                    <w14:schemeClr w14:val="tx1"/>
                  </w14:solidFill>
                </w14:textFill>
              </w:rPr>
              <w:t>的所有特征样本在映射后的空间中聚集在球心附近，形成紧致的超球分布。</w:t>
            </w:r>
          </w:p>
          <w:p w14:paraId="5DD7386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（2）伪负类建模</w:t>
            </w:r>
          </w:p>
          <w:p w14:paraId="19733266">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为构建紧致的安全边界，本研究设计2种互补的伪负样本生成方法，分别基于开源数据集和离群点进行构造。</w:t>
            </w:r>
          </w:p>
          <w:p w14:paraId="55424C04">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基于正类分布的离群点。通过计算正类特征分布 F_pos 的统计边界（如马氏距离、核密度估计），将特征空间中低密度区域的合成样本标记为离群负样本。该策略不依赖任何外部数据，完全从正类自身的分布形状推断异常边界。</w:t>
            </w:r>
          </w:p>
          <w:p w14:paraId="739C83B8">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基于开源数据集的跨用户信号。利用公开的骨传导/加速度语音数据集（如Vibravox[4</w:t>
            </w: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]）中其他说话人的信号，通过注册者的专属模型（CycleGAN+扩散模型）提取特征。这些特征来自真实的非</w:t>
            </w:r>
            <w:r>
              <w:rPr>
                <w:rFonts w:hint="eastAsia"/>
                <w:color w:val="000000" w:themeColor="text1"/>
                <w:sz w:val="24"/>
                <w14:textFill>
                  <w14:solidFill>
                    <w14:schemeClr w14:val="tx1"/>
                  </w14:solidFill>
                </w14:textFill>
              </w:rPr>
              <w:t>注册者</w:t>
            </w:r>
            <w:r>
              <w:rPr>
                <w:color w:val="000000" w:themeColor="text1"/>
                <w:sz w:val="24"/>
                <w14:textFill>
                  <w14:solidFill>
                    <w14:schemeClr w14:val="tx1"/>
                  </w14:solidFill>
                </w14:textFill>
              </w:rPr>
              <w:t>信号，其分布与</w:t>
            </w:r>
            <w:r>
              <w:rPr>
                <w:rFonts w:hint="eastAsia"/>
                <w:color w:val="000000" w:themeColor="text1"/>
                <w:sz w:val="24"/>
                <w14:textFill>
                  <w14:solidFill>
                    <w14:schemeClr w14:val="tx1"/>
                  </w14:solidFill>
                </w14:textFill>
              </w:rPr>
              <w:t>注册者</w:t>
            </w:r>
            <w:r>
              <w:rPr>
                <w:color w:val="000000" w:themeColor="text1"/>
                <w:sz w:val="24"/>
                <w14:textFill>
                  <w14:solidFill>
                    <w14:schemeClr w14:val="tx1"/>
                  </w14:solidFill>
                </w14:textFill>
              </w:rPr>
              <w:t>特征具有天然差异，是最可靠的伪负样本来源。</w:t>
            </w:r>
          </w:p>
          <w:p w14:paraId="2AFD86F7">
            <w:pPr>
              <w:spacing w:line="48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4.3 基于发声振动信号的身份认证系统原型研究</w:t>
            </w:r>
          </w:p>
          <w:p w14:paraId="3746046E">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本文最终开发出一款基于人体发声振动信号的VR用户身份认证系统，将该系统集成到主流 VR HMD中。用户在初次认证注册时，佩戴 VR 头显时进行语音交互，本系统会采集头显内置加速度计上的信号数</w:t>
            </w:r>
            <w:bookmarkStart w:id="0" w:name="_GoBack"/>
            <w:bookmarkEnd w:id="0"/>
            <w:r>
              <w:rPr>
                <w:color w:val="000000" w:themeColor="text1"/>
                <w:sz w:val="24"/>
                <w14:textFill>
                  <w14:solidFill>
                    <w14:schemeClr w14:val="tx1"/>
                  </w14:solidFill>
                </w14:textFill>
              </w:rPr>
              <w:t>据，将信号切片缓存并进行数据预处理后，送入内部的算法模块进行多源特征提取和原型构建，然后通过模拟真实用户的注册与验证操作流程，采集测试反馈数据，验证该系统的接口响应实时性、运行稳定性和身份认证如EER表现情况。该系统架构如图10，其自上而下分为4个模块：</w:t>
            </w:r>
          </w:p>
          <w:p w14:paraId="5EB4F913">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0" distR="0">
                  <wp:extent cx="5662930" cy="1977390"/>
                  <wp:effectExtent l="12700" t="12700" r="13970" b="16510"/>
                  <wp:docPr id="1123046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6820" name="图片 1"/>
                          <pic:cNvPicPr>
                            <a:picLocks noChangeAspect="1"/>
                          </pic:cNvPicPr>
                        </pic:nvPicPr>
                        <pic:blipFill>
                          <a:blip r:embed="rId17"/>
                          <a:stretch>
                            <a:fillRect/>
                          </a:stretch>
                        </pic:blipFill>
                        <pic:spPr>
                          <a:xfrm>
                            <a:off x="0" y="0"/>
                            <a:ext cx="5686826" cy="1986081"/>
                          </a:xfrm>
                          <a:prstGeom prst="rect">
                            <a:avLst/>
                          </a:prstGeom>
                          <a:ln>
                            <a:solidFill>
                              <a:schemeClr val="tx1"/>
                            </a:solidFill>
                          </a:ln>
                        </pic:spPr>
                      </pic:pic>
                    </a:graphicData>
                  </a:graphic>
                </wp:inline>
              </w:drawing>
            </w:r>
          </w:p>
          <w:p w14:paraId="2BB23F00">
            <w:pPr>
              <w:spacing w:line="360" w:lineRule="auto"/>
              <w:ind w:firstLine="480" w:firstLineChars="200"/>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图</w:t>
            </w:r>
            <w:r>
              <w:rPr>
                <w:rFonts w:hint="eastAsia"/>
                <w:color w:val="000000" w:themeColor="text1"/>
                <w:sz w:val="24"/>
                <w14:textFill>
                  <w14:solidFill>
                    <w14:schemeClr w14:val="tx1"/>
                  </w14:solidFill>
                </w14:textFill>
              </w:rPr>
              <w:t>4-12</w:t>
            </w:r>
            <w:r>
              <w:rPr>
                <w:color w:val="000000" w:themeColor="text1"/>
                <w:sz w:val="24"/>
                <w14:textFill>
                  <w14:solidFill>
                    <w14:schemeClr w14:val="tx1"/>
                  </w14:solidFill>
                </w14:textFill>
              </w:rPr>
              <w:t>:系统架构图</w:t>
            </w:r>
          </w:p>
          <w:p w14:paraId="07FFFF5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数据信号采集模块：通过VR头戴设备内置的加速度计采集用户发声时的体传导振动信号，同时利用内置麦克风采集对应的空气传导音频信号。</w:t>
            </w:r>
          </w:p>
          <w:p w14:paraId="70AC4F4A">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数据处理模块：对ACC信号经过属于数据预处理后，使用短时傅里叶变换转换为频谱图；对Audio信号进行Mel频谱提取，得到匹配的梅尔频谱图。</w:t>
            </w:r>
          </w:p>
          <w:p w14:paraId="004B7BF0">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模型处理模块：进行跨模态特征提取与融合模块，利用预训练的生成模型提取蕴含个体传导路径信息的生物特征。将预处理后的ACC频谱图分别输入预训练且冻结的CycleGAN和Diffusion两条分支，分别提取相应特征并进行特征融合。</w:t>
            </w:r>
          </w:p>
          <w:p w14:paraId="340D1685">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数据存储模块：将注册用户的特征向量模版存储到标准注册库。当用户发声触发身份认证系统时，计算当前嵌入向量与用户注册模板的余弦相似度，并存储异常事件到本地数据库中。</w:t>
            </w:r>
          </w:p>
          <w:p w14:paraId="71B878C9">
            <w:pPr>
              <w:spacing w:line="360" w:lineRule="auto"/>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通过上述处理流程，系统期望能够利用VR头戴设备已有的加速度计和麦克风传感器，在用户自然发声过程中无感地完成持续身份认证，</w:t>
            </w:r>
            <w:r>
              <w:rPr>
                <w:rFonts w:hint="eastAsia"/>
                <w:color w:val="000000" w:themeColor="text1"/>
                <w:sz w:val="24"/>
                <w14:textFill>
                  <w14:solidFill>
                    <w14:schemeClr w14:val="tx1"/>
                  </w14:solidFill>
                </w14:textFill>
              </w:rPr>
              <w:t>基于双模态的同步关联性抵</w:t>
            </w:r>
            <w:r>
              <w:rPr>
                <w:color w:val="000000" w:themeColor="text1"/>
                <w:sz w:val="24"/>
                <w14:textFill>
                  <w14:solidFill>
                    <w14:schemeClr w14:val="tx1"/>
                  </w14:solidFill>
                </w14:textFill>
              </w:rPr>
              <w:t>御重放攻击和语音合成攻击。</w:t>
            </w:r>
          </w:p>
          <w:p w14:paraId="777446F9">
            <w:pPr>
              <w:spacing w:line="360" w:lineRule="auto"/>
              <w:ind w:firstLine="480" w:firstLineChars="200"/>
              <w:rPr>
                <w:color w:val="000000" w:themeColor="text1"/>
                <w:sz w:val="24"/>
                <w14:textFill>
                  <w14:solidFill>
                    <w14:schemeClr w14:val="tx1"/>
                  </w14:solidFill>
                </w14:textFill>
              </w:rPr>
            </w:pPr>
          </w:p>
          <w:p w14:paraId="15771FBA">
            <w:pPr>
              <w:pStyle w:val="9"/>
              <w:widowControl/>
              <w:numPr>
                <w:ilvl w:val="0"/>
                <w:numId w:val="3"/>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参考文献</w:t>
            </w:r>
          </w:p>
          <w:p w14:paraId="6F69115A">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Berrezueta-Guzman S, Wagner S. Immersive multiplayer VR: Unreal Engine's strengths, limitations, and future prospects[J]. IEEE Access, 2025, 13: 85597-85612.</w:t>
            </w:r>
          </w:p>
          <w:p w14:paraId="7A4FA35B">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Kim J H, Kim M, Park M, et al. How interactivity and vividness influence consumer virtual reality shopping experience: the mediating role of telepresence[J]. Journal of Research in Interactive Marketing, 2021, 15(3): 502-525.</w:t>
            </w:r>
          </w:p>
          <w:p w14:paraId="08F552EF">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Rasanji V, Kumarasinghe N, Pethangoda R, et al. Virtual reality bank: a novel banking experience in immersive world[C]//Proceedings of the Symposium on Virtual and Augmented Reality (SVR 2024). New York: ACM, 2024: 193-202.</w:t>
            </w:r>
          </w:p>
          <w:p w14:paraId="1B70031F">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Li C Y, Tang B H. Research on voice interaction technology in VR environment[C]//2019 International Conference on Electronic Engineering and Informatics (EEI). IEEE, 2019: 213-216.</w:t>
            </w:r>
          </w:p>
          <w:p w14:paraId="15F8C36A">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Arjovsky M, Chintala S, Bottou L. Wasserstein generative adversarial networks[C]//International Conference on Machine Learning. PMLR, 2017: 214-223.</w:t>
            </w:r>
          </w:p>
          <w:p w14:paraId="72E69745">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Kwapisz J R, Weiss G M, Moore S A. Activity recognition using cell phone accelerometers[J]. ACM SIGKDD Explorations Newsletter, 201</w:t>
            </w:r>
            <w:r>
              <w:rPr>
                <w:rFonts w:hint="eastAsia"/>
                <w:color w:val="000000" w:themeColor="text1"/>
                <w:sz w:val="24"/>
                <w14:textFill>
                  <w14:solidFill>
                    <w14:schemeClr w14:val="tx1"/>
                  </w14:solidFill>
                </w14:textFill>
              </w:rPr>
              <w:t>0</w:t>
            </w:r>
            <w:r>
              <w:rPr>
                <w:color w:val="000000" w:themeColor="text1"/>
                <w:sz w:val="24"/>
                <w14:textFill>
                  <w14:solidFill>
                    <w14:schemeClr w14:val="tx1"/>
                  </w14:solidFill>
                </w14:textFill>
              </w:rPr>
              <w:t>, 12(2): 74-82.</w:t>
            </w:r>
          </w:p>
          <w:p w14:paraId="49266F4B">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Davis S, Mermelstein P. Comparison of parametric representations for monosyllabic word recognition in continuously spoken sentences[J]. IEEE Transactions on Acoustics, Speech, and Signal Processing, 1980, 28(4): 357-366.</w:t>
            </w:r>
          </w:p>
          <w:p w14:paraId="22617AD6">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Yu Z, Liang H-N, Fleming C, Man K L. An exploration of usable authentication mechanisms for virtual reality systems[C]//IEEE Asia Pacific Conference on Circuits and Systems (APCCAS). IEEE, 2016: 458-460.</w:t>
            </w:r>
          </w:p>
          <w:p w14:paraId="213F7420">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George C, Khamis M, von Zezschwitz E, et al. Seamless and secure VR: Adapting and evaluating established authentication systems for virtual reality[C]//USEC Workshop, co-located with NDSS. Internet Society, 2017.</w:t>
            </w:r>
          </w:p>
          <w:p w14:paraId="660A07E7">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Mathis F, Williamson J, Vaniea K, Khamis M. RubikAuth: Fast and secure authentication in virtual reality[C]//ACM CHI Extended Abstracts (CHI EA '20). ACM, 2020: 1-9.</w:t>
            </w:r>
          </w:p>
          <w:p w14:paraId="4B54AEE3">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Riyadh H T M A, Bhardwaj D, Dabrowski A, Krombholz K. Usable authentication in virtual reality: Exploring the usability of PINs and gestures[C]//Applied Cryptography and Network Security (ACNS). Springer, 2024: 412-431.</w:t>
            </w:r>
          </w:p>
          <w:p w14:paraId="21300BF0">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Abdelrahman Y, Mathis F, Knierim P, Kettler A, Alt F, Khamis M. CueVR: Studying the usability of cue-based authentication for virtual reality[C]//International Conference on Advanced Visual Interfaces (AVI '22). ACM, 2022: 1-9.</w:t>
            </w:r>
          </w:p>
          <w:p w14:paraId="08C4418D">
            <w:pPr>
              <w:numPr>
                <w:ilvl w:val="0"/>
                <w:numId w:val="4"/>
              </w:numPr>
              <w:wordWrap w:val="0"/>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Giaretta A. Security and privacy in virtual reality: A literature survey[J]. Virtual Reality, 202</w:t>
            </w:r>
            <w:r>
              <w:rPr>
                <w:rFonts w:hint="eastAsia"/>
                <w:color w:val="000000" w:themeColor="text1"/>
                <w:sz w:val="24"/>
                <w14:textFill>
                  <w14:solidFill>
                    <w14:schemeClr w14:val="tx1"/>
                  </w14:solidFill>
                </w14:textFill>
              </w:rPr>
              <w:t>5</w:t>
            </w:r>
            <w:r>
              <w:rPr>
                <w:color w:val="000000" w:themeColor="text1"/>
                <w:sz w:val="24"/>
                <w14:textFill>
                  <w14:solidFill>
                    <w14:schemeClr w14:val="tx1"/>
                  </w14:solidFill>
                </w14:textFill>
              </w:rPr>
              <w:t>, 29(1): 1-</w:t>
            </w:r>
            <w:r>
              <w:rPr>
                <w:rFonts w:hint="eastAsia"/>
                <w:color w:val="000000" w:themeColor="text1"/>
                <w:sz w:val="24"/>
                <w14:textFill>
                  <w14:solidFill>
                    <w14:schemeClr w14:val="tx1"/>
                  </w14:solidFill>
                </w14:textFill>
              </w:rPr>
              <w:t>10</w:t>
            </w:r>
            <w:r>
              <w:rPr>
                <w:color w:val="000000" w:themeColor="text1"/>
                <w:sz w:val="24"/>
                <w14:textFill>
                  <w14:solidFill>
                    <w14:schemeClr w14:val="tx1"/>
                  </w14:solidFill>
                </w14:textFill>
              </w:rPr>
              <w:t>.</w:t>
            </w:r>
          </w:p>
          <w:p w14:paraId="03821D3C">
            <w:pPr>
              <w:numPr>
                <w:ilvl w:val="0"/>
                <w:numId w:val="4"/>
              </w:numPr>
              <w:wordWrap w:val="0"/>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Li F , Zhao J , Yang H ,et al.VibHead: An Authentication Scheme for Smart Headsets through Vibration[J].ACM Transactions on Sensor Networks, 2024, 20(4):1-21.DOI:10.1145/3614432.</w:t>
            </w:r>
          </w:p>
          <w:p w14:paraId="39A1BDC3">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Wu Y, et al. Privacy leakage via unrestricted motion-position sensors in the age of virtual reality: A study of snooping typed </w:t>
            </w:r>
            <w:r>
              <w:rPr>
                <w:rFonts w:hint="eastAsia"/>
                <w:color w:val="000000" w:themeColor="text1"/>
                <w:spacing w:val="-6"/>
                <w:sz w:val="24"/>
                <w14:textFill>
                  <w14:solidFill>
                    <w14:schemeClr w14:val="tx1"/>
                  </w14:solidFill>
                </w14:textFill>
              </w:rPr>
              <w:t>in</w:t>
            </w:r>
            <w:r>
              <w:rPr>
                <w:color w:val="000000" w:themeColor="text1"/>
                <w:spacing w:val="-6"/>
                <w:sz w:val="24"/>
                <w14:textFill>
                  <w14:solidFill>
                    <w14:schemeClr w14:val="tx1"/>
                  </w14:solidFill>
                </w14:textFill>
              </w:rPr>
              <w:t>put on Virtual Keyboards[C]//IEEE Symposium on Security and Privacy (S&amp;P). IEEE, 2023.</w:t>
            </w:r>
          </w:p>
          <w:p w14:paraId="52C6F559">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Nair V, Rosenberg L, O'Brien J F, Song D. Truth in motion: The unprecedented risks and opportunities of extended reality motion data[J]. IEEE Security &amp; Privacy, 2024, 22(1): 24-32.</w:t>
            </w:r>
          </w:p>
          <w:p w14:paraId="78C51D05">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Zhang Y, Slocum C, Chen J, Abu-Ghazaleh N. It's all in your head(set): Side-channel attacks on AR/VR systems[C]//USENIX Security Symposium. USENIX, 2023: 3979-3996.</w:t>
            </w:r>
          </w:p>
          <w:p w14:paraId="37172374">
            <w:pPr>
              <w:numPr>
                <w:ilvl w:val="0"/>
                <w:numId w:val="4"/>
              </w:numPr>
              <w:wordWrap w:val="0"/>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Pfeuffer K, Geiger M J, Prange S, Mecke L, Buschek D, Alt F. Behavioural biometrics in VR: Identifying people from body motion and relations in virtual reality[C]//ACM CHI Conference on Human Factors in Computing Systems (CHI '19). ACM, 2019: 1-12.</w:t>
            </w:r>
          </w:p>
          <w:p w14:paraId="0E023696">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Kupin A, Moeller B, Jiang Y, Banerjee N K, Banerjee S. Task-driven biometric authentication of users in virtual reality (VR) environments[C]//International Conference on MultiMedia Modeling (MMM). Springer, 2019: 55-67.</w:t>
            </w:r>
          </w:p>
          <w:p w14:paraId="736F0FF9">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Liebers J, Abdelaziz M, Mecke L, Saad A, Auda J, Gruenefeld U, Alt F, Schneegass S. Understanding user identification in virtual reality through behavioral biometrics and the effect of body normalization[C]//ACM CHI Conference on Human Factors in Computing Systems (CHI '21). ACM, 2021: 1-11.</w:t>
            </w:r>
          </w:p>
          <w:p w14:paraId="22EAF57C">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Miller R, Banerjee N K, Banerjee S. Using Siamese neural networks to perform cross-system behavioral authentication in virtual reality[C]//IEEE Virtual Reality and 3D User Interfaces (VR). IEEE, 2021: 140-149.</w:t>
            </w:r>
          </w:p>
          <w:p w14:paraId="34679D96">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Lohr D J, Berndt S-H, Komogortsev O V. An implementation of eye movement-driven biometrics in virtual reality[C]//ACM Symposium on Eye Tracking Research &amp; Applications (ETRA '18). ACM, 2018: 98:1-98:3.</w:t>
            </w:r>
          </w:p>
          <w:p w14:paraId="56836F9B">
            <w:pPr>
              <w:numPr>
                <w:ilvl w:val="0"/>
                <w:numId w:val="4"/>
              </w:numPr>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Sluganovic I, Roeschlin M, Rasmussen K B, Martinovic I. Using reflexive eye movements for fast challenge-response authentication[C]//ACM Conference on Computer and Communications Security (CCS '16). ACM, 2016: 1056-1067.</w:t>
            </w:r>
          </w:p>
          <w:p w14:paraId="56D3F033">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Lohr D, Komogortsev O V. Eye know you too: Toward viable end-to-end eye movement biometrics for user authentication[J]. IEEE Transactions on Information Forensics and Security, 2022, 17: 3151-3164.</w:t>
            </w:r>
          </w:p>
          <w:p w14:paraId="53169FDC">
            <w:pPr>
              <w:numPr>
                <w:ilvl w:val="0"/>
                <w:numId w:val="4"/>
              </w:numPr>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Katsini C, Abdrabou Y, Raptis G E, Khamis M, Alt F. The role of eye gaze in security and privacy applications: Survey and future HCI research directions[C]//ACM CHI Conference on Human Factors in Computing Systems (CHI '20). ACM, 2020: 1-21.</w:t>
            </w:r>
          </w:p>
          <w:p w14:paraId="4108D07A">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Jeon J, Noh Y-G, Yoo J, Hong J-H. Understanding gaze-based identification in VR through preattentive processing and binocular rivalry[C]//ACM CHI Conference on Human Factors in Computing Systems (CHI '26). ACM, 2026: 677:1-677:23.</w:t>
            </w:r>
          </w:p>
          <w:p w14:paraId="2D89AE61">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Zhang T, Shi C, Walker P, Ye Z, Wang Y, et al . Passive Vital Sign Monitoring via Facial Vibrations Leveraging AR/VR Headsets. [C]//ACM International Conference on Mobile Systems, Applications, and Services (MobiSys). ACM, 2023.</w:t>
            </w:r>
          </w:p>
          <w:p w14:paraId="664C8AF6">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Zhang T, et al. Harnessing vital sign vibration harmonics for effortless and inbuilt XR user authentication[C]//ACM Conference on Computer and Communications Security (CCS). ACM, 2025: 3520-3534. </w:t>
            </w:r>
          </w:p>
          <w:p w14:paraId="03643FC5">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Reynolds D A, Quatieri T F, Dunn R B. Speaker verification using adapted Gaussian mixture models[J]. Digital Signal Processing, 2000, 10(1-3): 19-41.</w:t>
            </w:r>
          </w:p>
          <w:p w14:paraId="4E60133A">
            <w:pPr>
              <w:numPr>
                <w:ilvl w:val="0"/>
                <w:numId w:val="4"/>
              </w:numPr>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Dehak N, Kenny P J, Dehak R, Dumouchel P, Ouellet P. Front-end factor analysis for speaker verification[J]. IEEE Transactions on Audio, Speech, and Language Processing, 2011, 19(4): 788-798.</w:t>
            </w:r>
          </w:p>
          <w:p w14:paraId="15C69C36">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Snyder D, Garcia-Romero D, Sell G, Povey D, Khudanpur S. X-vectors: Robust DNN embeddings for speaker recognition[C]//IEEE International Conference on Acoustics, Speech and Signal Processing (ICASSP). IEEE, 2018: 5329-5333.</w:t>
            </w:r>
          </w:p>
          <w:p w14:paraId="330FEF9E">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Desplanques B, Thienpondt J, Demuynck K. ECAPA-TDNN: Emphasized channel attention, propagation and aggregation in TDNN based speaker verification[C]//Interspeech. ISCA, 2020: 3830-3834.</w:t>
            </w:r>
          </w:p>
          <w:p w14:paraId="2D716D85">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Nagrani A, Chung J S, Zisserman A. VoxCeleb: A large-scale speaker identification dataset[C]//Interspeech. ISCA, 2017: 2616-2620.</w:t>
            </w:r>
          </w:p>
          <w:p w14:paraId="581DA3E2">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S. Chen et al., Neural Codec Language Models are Zero-Shot Text to Speech Synthesizers.[C]//IEEE Transactions on Audio, Speech and Language Processing.IEEE, 2025: 705-718 </w:t>
            </w:r>
          </w:p>
          <w:p w14:paraId="38F09DD1">
            <w:pPr>
              <w:numPr>
                <w:ilvl w:val="0"/>
                <w:numId w:val="4"/>
              </w:numPr>
              <w:spacing w:line="360" w:lineRule="auto"/>
              <w:rPr>
                <w:color w:val="000000" w:themeColor="text1"/>
                <w:spacing w:val="-6"/>
                <w:sz w:val="24"/>
                <w14:textFill>
                  <w14:solidFill>
                    <w14:schemeClr w14:val="tx1"/>
                  </w14:solidFill>
                </w14:textFill>
              </w:rPr>
            </w:pPr>
            <w:r>
              <w:rPr>
                <w:rFonts w:hint="eastAsia"/>
                <w:color w:val="000000" w:themeColor="text1"/>
                <w:spacing w:val="-6"/>
                <w:sz w:val="24"/>
                <w14:textFill>
                  <w14:solidFill>
                    <w14:schemeClr w14:val="tx1"/>
                  </w14:solidFill>
                </w14:textFill>
              </w:rPr>
              <w:t xml:space="preserve"> </w:t>
            </w:r>
            <w:r>
              <w:rPr>
                <w:color w:val="000000" w:themeColor="text1"/>
                <w:spacing w:val="-6"/>
                <w:sz w:val="24"/>
                <w14:textFill>
                  <w14:solidFill>
                    <w14:schemeClr w14:val="tx1"/>
                  </w14:solidFill>
                </w14:textFill>
              </w:rPr>
              <w:t>Shi C, et al. Face-Mic: Inferring live speech and speaker identity via subtle facial dynamics captured by AR/VR motion sensors[C]//ACM Annual International Conference on Mobile Computing and Networking (MobiCom). ACM, 2021: 478-490.</w:t>
            </w:r>
          </w:p>
          <w:p w14:paraId="00847DE3">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Zhang T, Ji Q, Ye Z, et al. SAFARI: Speech-associated facial authentication for AR/VR settings via robust vibration signatures[C]//ACM Conference on Computer and Communications Security (CCS). ACM, 2024: 153-167.</w:t>
            </w:r>
          </w:p>
          <w:p w14:paraId="459395AF">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Cayir D, Aburas R, Lazzeretti R, et al. Speak up, I'm listening: Extracting speech from zero-permission VR sensors[C]//NDSS. 2025.</w:t>
            </w:r>
          </w:p>
          <w:p w14:paraId="67137AE9">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Campbell J P. Speaker recognition: A tutorial[J]. Proceedings of the IEEE, 1997, 85(9): 1437-1462.</w:t>
            </w:r>
          </w:p>
          <w:p w14:paraId="186D2EC7">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He L, Hou H, Shi S, Shuai X, Yan Z. Towards bone-conducted vibration speech enhancement on head-mounted wearables[C]//ACM International Conference on Mobile Systems, Applications, and Services (MobiSys). ACM, 2023:14-27.</w:t>
            </w:r>
          </w:p>
          <w:p w14:paraId="74B54AFB">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 xml:space="preserve"> Kwon M, Jeong J, Uh Y. Diffusion models already have a semantic latent space (Asyrp)[C]//International Conference on Learning Representations (ICLR). 2023.</w:t>
            </w:r>
          </w:p>
          <w:p w14:paraId="5F96D808">
            <w:pPr>
              <w:numPr>
                <w:ilvl w:val="0"/>
                <w:numId w:val="4"/>
              </w:numPr>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Nair V, Guo W, Mattern J, Wang R, O'Brien J F, Rosenberg L, Song D. Unique identification of 50,000+ virtual reality users from head &amp; hand motion data[C]//USENIX Security Symposium. USENIX, 2023: 895-910.</w:t>
            </w:r>
          </w:p>
          <w:p w14:paraId="434AC143">
            <w:pPr>
              <w:numPr>
                <w:ilvl w:val="0"/>
                <w:numId w:val="4"/>
              </w:numPr>
              <w:wordWrap w:val="0"/>
              <w:spacing w:line="360" w:lineRule="auto"/>
              <w:rPr>
                <w:color w:val="000000" w:themeColor="text1"/>
                <w:spacing w:val="-6"/>
                <w:sz w:val="24"/>
                <w14:textFill>
                  <w14:solidFill>
                    <w14:schemeClr w14:val="tx1"/>
                  </w14:solidFill>
                </w14:textFill>
              </w:rPr>
            </w:pPr>
            <w:r>
              <w:rPr>
                <w:color w:val="000000" w:themeColor="text1"/>
                <w:spacing w:val="-6"/>
                <w:sz w:val="24"/>
                <w14:textFill>
                  <w14:solidFill>
                    <w14:schemeClr w14:val="tx1"/>
                  </w14:solidFill>
                </w14:textFill>
              </w:rPr>
              <w:t>Hauret J , Olivier M , Joubaud T ,et al.Vibravox: A dataset of french speech captured with body-conduction audio sensors[J].Speech Communication, 2025, 172(000).DOI:10.1016/j.specom.2025.103238.</w:t>
            </w:r>
          </w:p>
          <w:p w14:paraId="06DE6E52">
            <w:pPr>
              <w:spacing w:line="360" w:lineRule="auto"/>
              <w:rPr>
                <w:color w:val="000000" w:themeColor="text1"/>
                <w:spacing w:val="-6"/>
                <w:sz w:val="24"/>
                <w14:textFill>
                  <w14:solidFill>
                    <w14:schemeClr w14:val="tx1"/>
                  </w14:solidFill>
                </w14:textFill>
              </w:rPr>
            </w:pPr>
          </w:p>
          <w:p w14:paraId="33F540C4">
            <w:pPr>
              <w:spacing w:line="360" w:lineRule="auto"/>
              <w:rPr>
                <w:color w:val="000000" w:themeColor="text1"/>
                <w:spacing w:val="-6"/>
                <w:sz w:val="24"/>
                <w14:textFill>
                  <w14:solidFill>
                    <w14:schemeClr w14:val="tx1"/>
                  </w14:solidFill>
                </w14:textFill>
              </w:rPr>
            </w:pPr>
          </w:p>
          <w:p w14:paraId="0552C2C7">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研究生签名</w:t>
            </w:r>
          </w:p>
          <w:p w14:paraId="2DD5AB16">
            <w:pPr>
              <w:spacing w:line="360" w:lineRule="auto"/>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年    月    日</w:t>
            </w:r>
          </w:p>
          <w:p w14:paraId="6AAC6E80">
            <w:pPr>
              <w:spacing w:line="360" w:lineRule="auto"/>
              <w:rPr>
                <w:color w:val="000000" w:themeColor="text1"/>
                <w:spacing w:val="-6"/>
                <w:sz w:val="24"/>
                <w14:textFill>
                  <w14:solidFill>
                    <w14:schemeClr w14:val="tx1"/>
                  </w14:solidFill>
                </w14:textFill>
              </w:rPr>
            </w:pPr>
            <w:r>
              <w:rPr>
                <w:color w:val="000000" w:themeColor="text1"/>
                <w:sz w:val="24"/>
                <w14:textFill>
                  <w14:solidFill>
                    <w14:schemeClr w14:val="tx1"/>
                  </w14:solidFill>
                </w14:textFill>
              </w:rPr>
              <w:t>（注：本页不够可附页）</w:t>
            </w:r>
          </w:p>
        </w:tc>
      </w:tr>
    </w:tbl>
    <w:p w14:paraId="7E9D34BB">
      <w:pPr>
        <w:spacing w:line="400" w:lineRule="exact"/>
        <w:jc w:val="center"/>
        <w:rPr>
          <w:color w:val="000000" w:themeColor="text1"/>
          <w:sz w:val="24"/>
          <w14:textFill>
            <w14:solidFill>
              <w14:schemeClr w14:val="tx1"/>
            </w14:solidFill>
          </w14:textFill>
        </w:rPr>
      </w:pPr>
    </w:p>
    <w:p w14:paraId="7FCCDD1C">
      <w:pPr>
        <w:spacing w:line="400" w:lineRule="exact"/>
        <w:jc w:val="center"/>
        <w:rPr>
          <w:color w:val="000000" w:themeColor="text1"/>
          <w:sz w:val="24"/>
          <w14:textFill>
            <w14:solidFill>
              <w14:schemeClr w14:val="tx1"/>
            </w14:solidFill>
          </w14:textFill>
        </w:rPr>
      </w:pPr>
    </w:p>
    <w:p w14:paraId="56C980D0">
      <w:pPr>
        <w:spacing w:after="120" w:line="400" w:lineRule="exact"/>
        <w:rPr>
          <w:rFonts w:eastAsia="黑体"/>
          <w:color w:val="000000" w:themeColor="text1"/>
          <w:sz w:val="32"/>
          <w14:textFill>
            <w14:solidFill>
              <w14:schemeClr w14:val="tx1"/>
            </w14:solidFill>
          </w14:textFill>
        </w:rPr>
      </w:pPr>
      <w:r>
        <w:rPr>
          <w:rFonts w:eastAsia="黑体"/>
          <w:color w:val="000000" w:themeColor="text1"/>
          <w:sz w:val="32"/>
          <w14:textFill>
            <w14:solidFill>
              <w14:schemeClr w14:val="tx1"/>
            </w14:solidFill>
          </w14:textFill>
        </w:rPr>
        <w:t>二、学位论文工作实施计划</w:t>
      </w:r>
    </w:p>
    <w:p w14:paraId="3734FEC5">
      <w:pPr>
        <w:spacing w:line="44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（一）论文的理论分析与硬件要求及其预期达到的水平与结果</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04BF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5" w:hRule="atLeast"/>
          <w:jc w:val="center"/>
        </w:trPr>
        <w:tc>
          <w:tcPr>
            <w:tcW w:w="5000" w:type="pct"/>
          </w:tcPr>
          <w:p w14:paraId="3A3B92E4">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一、理论分析</w:t>
            </w:r>
          </w:p>
          <w:p w14:paraId="13C4F170">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本论文提出的基于人体发声振动信号多模态感知的VR用户身份认证技术，旨在利用VR头戴设备内置的加速度计和麦克风，通过采集用户发声时的体传导振动信号与空气传导语音信号，实现对VR用户的无感、持续身份认证。在VR沉浸式交互环境中，主要分为知识型、行为特征、生理信号、语音交互几类身份认证方法。传统的知识型认证方案（如PIN码、手势密码）严重破坏沉浸感且易受肩窥攻击，行为生物特征认证依赖特定交互任务且跨场景泛化能力有限，生理信号认证信号微弱且个体区分度不足。为此，本文提出了一种创新性的基于跨模态转化的身份认证框架，通过CycleGAN循环一致性特征提取、条件扩散模型残差身份特征挖掘，以及面向开放集的单用户异常检测认证机制，能够有效提升VR场景下身份认证的安全性、鲁棒性和抗欺骗能力。</w:t>
            </w:r>
          </w:p>
          <w:p w14:paraId="13123BA7">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1.1 基于CycleGAN的循环一致性特征建模</w:t>
            </w:r>
          </w:p>
          <w:p w14:paraId="065BF571">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循环一致性特征建模是解决跨模态身份认证的核心技术之一。人体发声时，声带振动通过两条独立的物理路径传播：空气传导路径和体传导路径。由于每个人的头骨密度、软组织结构和发声习惯具有高度的生理特异性，同一段语音内容在不同用户身上产生的骨传导振动信号存在显著差异。本文利用CycleGAN建立ACC与Audio之间的双向跨模态映射，核心创新在于不依赖生成域的绝对逼真度，而是将"循环一致性重建差异"作为主要身份特征。当输入特定用户的ACC信号经历ACC→Audio→ACC的循环转换时，由于该用户骨传导传递函数的唯一性，网络无法完美重建原始信号，这种重建误差恰恰是最具区分度的用户特异性模式。结合浅层纹理特征、瓶颈语义特征和重建差异特征的多层次提取，本文能够从不同角度全面捕获与用户身份强相关的生物特征信息，有效降低单一特征维度不足对认证性能的影响。</w:t>
            </w:r>
          </w:p>
          <w:p w14:paraId="0AABA533">
            <w:pPr>
              <w:spacing w:line="440" w:lineRule="exact"/>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1.2 基于条件扩散模型的残差身份特征提取</w:t>
            </w:r>
          </w:p>
          <w:p w14:paraId="28FFD517">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为了弥补CycleGAN受循环一致性约束而无法充分暴露的残差身份信息，本文引入条件扩散模型作为非约束特征提取方法。传统的CycleGAN在循环一致性损失的约束下，重建过程中的残差信息量受到压制，导致部分与用户骨传导物理缺陷相关的身份特征未能被充分挖掘。扩散模型在去噪过程中基于条件输入进行概率推断，会通过模型学习补充ACC信号中天然缺失的高频频带内容，而这种补充内容取决于用户的头骨密度与佩戴特征，因此携带了丰富的身份信息。本文发现，扩散模型U-Net瓶颈层存在结构化的语义潜在空间，不同去噪时间步编码了从粗粒度韵律结构到细粒度声学纹理的不同层级信息，可以选择性地从特定时间步提取身份特征。因此，条件扩散模型不仅能够提供CycleGAN所缺失的残差身份特征，还通过链式重建残差、去噪轨迹特征和噪声预测模式特征的多层次提取，进一步丰富了身份表征的维度和区分度。</w:t>
            </w:r>
          </w:p>
          <w:p w14:paraId="57392AE7">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1.3 面向开放集的单用户异常检测认证机制</w:t>
            </w:r>
          </w:p>
          <w:p w14:paraId="472FD4E2">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单用户异常检测认证机制被引入到VR身份认证系统中，以应对实际消费级场景中多用户数据获取困难和隐私合规挑战的问题。在传统的生物特征认证中，通常需要收集大量异构多用户数据进行对比学习来划分身份边界，但在实际VR部署环境中，要求设备预先采集大量不同个体的真实生物数据既不现实也面临隐私风险。本文将身份认证问题重新形式化为单类异常检测任务，仅利用注册者自身的数据构建正类分布模型，将所有偏离该分布的信号判定为异常。这种机制的可行性体现在：攻击者的分布是开放且未知的，单类方法不依赖特定攻击模式的先验知识，对未知攻击类型具有更好的泛化能力。通过Deep SVDD框架将正类特征映射到超球面空间中的紧致区域，结合基于开源数据集的跨用户信号和基于正类分布离群点的伪负样本生成策略，模型能够在仅使用单用户数据的条件下构建出可靠的安全边界，避免了对大规模多用户数据的依赖，显著提升了系统的实际可部署性和隐私安全性。</w:t>
            </w:r>
          </w:p>
          <w:p w14:paraId="1106AA56">
            <w:pPr>
              <w:spacing w:line="440" w:lineRule="exact"/>
              <w:rPr>
                <w:color w:val="000000" w:themeColor="text1"/>
                <w:sz w:val="24"/>
                <w14:textFill>
                  <w14:solidFill>
                    <w14:schemeClr w14:val="tx1"/>
                  </w14:solidFill>
                </w14:textFill>
              </w:rPr>
            </w:pPr>
          </w:p>
          <w:p w14:paraId="600AD5CA">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二、实验验证要求</w:t>
            </w:r>
          </w:p>
          <w:p w14:paraId="356C01BD">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2.1 实验环境要求</w:t>
            </w:r>
          </w:p>
          <w:p w14:paraId="0257CE7D">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（1）硬件环境：</w:t>
            </w:r>
            <w:r>
              <w:rPr>
                <w:color w:val="000000" w:themeColor="text1"/>
                <w:sz w:val="24"/>
                <w14:textFill>
                  <w14:solidFill>
                    <w14:schemeClr w14:val="tx1"/>
                  </w14:solidFill>
                </w14:textFill>
              </w:rPr>
              <w:t>HUAWEI M</w:t>
            </w:r>
            <w:r>
              <w:rPr>
                <w:rFonts w:hint="eastAsia"/>
                <w:color w:val="000000" w:themeColor="text1"/>
                <w:sz w:val="24"/>
                <w14:textFill>
                  <w14:solidFill>
                    <w14:schemeClr w14:val="tx1"/>
                  </w14:solidFill>
                </w14:textFill>
              </w:rPr>
              <w:t>atebook 14、</w:t>
            </w:r>
            <w:r>
              <w:rPr>
                <w:color w:val="000000" w:themeColor="text1"/>
                <w:sz w:val="24"/>
                <w14:textFill>
                  <w14:solidFill>
                    <w14:schemeClr w14:val="tx1"/>
                  </w14:solidFill>
                </w14:textFill>
              </w:rPr>
              <w:t>RTX</w:t>
            </w:r>
            <w:r>
              <w:rPr>
                <w:rFonts w:hint="eastAsia"/>
                <w:color w:val="000000" w:themeColor="text1"/>
                <w:sz w:val="24"/>
                <w14:textFill>
                  <w14:solidFill>
                    <w14:schemeClr w14:val="tx1"/>
                  </w14:solidFill>
                </w14:textFill>
              </w:rPr>
              <w:t>3080、HTC VIVE Pro头戴式显示器</w:t>
            </w:r>
          </w:p>
          <w:p w14:paraId="7A5C5C80">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（2）软件环境：Windows操作系统、SteamVR运行环境、数据采集应用程序。</w:t>
            </w:r>
          </w:p>
          <w:p w14:paraId="223107BF">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（3）开发工具：PyCharm、</w:t>
            </w:r>
            <w:r>
              <w:rPr>
                <w:color w:val="000000" w:themeColor="text1"/>
                <w:sz w:val="24"/>
                <w14:textFill>
                  <w14:solidFill>
                    <w14:schemeClr w14:val="tx1"/>
                  </w14:solidFill>
                </w14:textFill>
              </w:rPr>
              <w:t>VS</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C</w:t>
            </w:r>
            <w:r>
              <w:rPr>
                <w:rFonts w:hint="eastAsia"/>
                <w:color w:val="000000" w:themeColor="text1"/>
                <w:sz w:val="24"/>
                <w14:textFill>
                  <w14:solidFill>
                    <w14:schemeClr w14:val="tx1"/>
                  </w14:solidFill>
                </w14:textFill>
              </w:rPr>
              <w:t>ode 、Unity 3</w:t>
            </w:r>
            <w:r>
              <w:rPr>
                <w:color w:val="000000" w:themeColor="text1"/>
                <w:sz w:val="24"/>
                <w14:textFill>
                  <w14:solidFill>
                    <w14:schemeClr w14:val="tx1"/>
                  </w14:solidFill>
                </w14:textFill>
              </w:rPr>
              <w:t>D</w:t>
            </w:r>
          </w:p>
          <w:p w14:paraId="5EE69A61">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（4）开发语言：Python、C#/C++。</w:t>
            </w:r>
          </w:p>
          <w:p w14:paraId="2E6FC6B0">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2.2 实验内容要求</w:t>
            </w:r>
          </w:p>
          <w:p w14:paraId="7DC2C6A1">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本文的实验部分对基于人体发声振动信号多模态感知的VR用户身份认证系统的准确性、安全性和可用性进行验证。</w:t>
            </w:r>
          </w:p>
          <w:p w14:paraId="3C772562">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（1）基于CycleGAN循环一致性特征的身份认证准确性和可用性验证</w:t>
            </w:r>
          </w:p>
          <w:p w14:paraId="120D185C">
            <w:pPr>
              <w:spacing w:line="440" w:lineRule="exact"/>
              <w:ind w:firstLine="600" w:firstLineChars="25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准确性是指系统能否正确识别合法用户并拒绝非授权用户，可用性是指系统在实际VR交互场景中能否实现无感、低延迟的持续认证。具体实验过程中，在HTC VIVE Pro头显上部署数据采集程序，通过</w:t>
            </w:r>
            <w:r>
              <w:rPr>
                <w:color w:val="000000" w:themeColor="text1"/>
                <w:sz w:val="24"/>
                <w14:textFill>
                  <w14:solidFill>
                    <w14:schemeClr w14:val="tx1"/>
                  </w14:solidFill>
                </w14:textFill>
              </w:rPr>
              <w:t>VR</w:t>
            </w:r>
            <w:r>
              <w:rPr>
                <w:rFonts w:hint="eastAsia"/>
                <w:color w:val="000000" w:themeColor="text1"/>
                <w:sz w:val="24"/>
                <w14:textFill>
                  <w14:solidFill>
                    <w14:schemeClr w14:val="tx1"/>
                  </w14:solidFill>
                </w14:textFill>
              </w:rPr>
              <w:t>头显同步采集1000Hz加速度计信号和48000Hz麦克风音频信号。招募多名志愿者，实验人员佩戴VR头显坐姿状态下朗读指定的VR交互英文指令（"</w:t>
            </w:r>
            <w:r>
              <w:rPr>
                <w:color w:val="000000" w:themeColor="text1"/>
                <w:sz w:val="24"/>
                <w14:textFill>
                  <w14:solidFill>
                    <w14:schemeClr w14:val="tx1"/>
                  </w14:solidFill>
                </w14:textFill>
              </w:rPr>
              <w:t>S</w:t>
            </w:r>
            <w:r>
              <w:rPr>
                <w:rFonts w:hint="eastAsia"/>
                <w:color w:val="000000" w:themeColor="text1"/>
                <w:sz w:val="24"/>
                <w14:textFill>
                  <w14:solidFill>
                    <w14:schemeClr w14:val="tx1"/>
                  </w14:solidFill>
                </w14:textFill>
              </w:rPr>
              <w:t>tand"、"Grab"、"Select"等），每人采集多组有效数据。通过训练用户专属的CycleGAN模型，提取多源循环一致性生物特征，在1:N闭集测试中计算待测样本与注册模板的余弦相似度，评估系统的等错误率（EER）、真正接受率和假接受率，确定该方案的认证准确性和可用性。</w:t>
            </w:r>
          </w:p>
          <w:p w14:paraId="22A33CCE">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（2）基于融合跨模态特征的开放集身份认证准确性和安全性验证</w:t>
            </w:r>
          </w:p>
          <w:p w14:paraId="6D0BBDD7">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该部分实验在基于CycleGAN的实验基础上，进一步验证引入条件扩散模型后的多源特征融合方案在开放集场景下的认证性能。实验场景与第一部分基本一致，但认证模式从闭集扩展为开放集，即测试集中包含未在训练阶段出现的陌生用户（冒充者）。实验评估系统在仅使用单用户数据训练的条件下，能否有效区分合法用户与未注册的冒充者，重点评估开放集场景下的EER、组内相似度、组间相似度及分离度等指标。同时，设计重放攻击和语音合成攻击实验，验证系统基于ACC体传导信号的天然抗欺骗能力。</w:t>
            </w:r>
          </w:p>
          <w:p w14:paraId="7C73E6FF">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（3）基于发声振动信号的身份认证系统原型的实时性和稳定性验证</w:t>
            </w:r>
          </w:p>
          <w:p w14:paraId="0571B02A">
            <w:pPr>
              <w:spacing w:line="440" w:lineRule="exact"/>
              <w:ind w:firstLine="480" w:firstLineChars="20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该部分实验面向实际VR交互应用，验证集成后的完整身份认证系统原型在真实使用条件下的工程表现。模拟真实用户的注册与验证操作流程，测试系统在不同VR交互场景中的接口响应实时性、系统运行稳定性，以及在用户存在头部运动、环境噪声干扰等复杂条件下的认证鲁棒性，综合评估系统的实际工程可行性。</w:t>
            </w:r>
          </w:p>
          <w:p w14:paraId="757FE18B">
            <w:pPr>
              <w:spacing w:line="440" w:lineRule="exact"/>
              <w:rPr>
                <w:color w:val="000000" w:themeColor="text1"/>
                <w:sz w:val="24"/>
                <w14:textFill>
                  <w14:solidFill>
                    <w14:schemeClr w14:val="tx1"/>
                  </w14:solidFill>
                </w14:textFill>
              </w:rPr>
            </w:pPr>
          </w:p>
          <w:p w14:paraId="07BB0C59">
            <w:pPr>
              <w:spacing w:line="440" w:lineRule="exact"/>
              <w:rPr>
                <w:rFonts w:hint="eastAsia"/>
                <w:color w:val="000000" w:themeColor="text1"/>
                <w:sz w:val="24"/>
                <w14:textFill>
                  <w14:solidFill>
                    <w14:schemeClr w14:val="tx1"/>
                  </w14:solidFill>
                </w14:textFill>
              </w:rPr>
            </w:pPr>
          </w:p>
          <w:p w14:paraId="0462FDBB">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三、预期研究成果</w:t>
            </w:r>
          </w:p>
          <w:p w14:paraId="4DBFC93D">
            <w:pPr>
              <w:pStyle w:val="24"/>
              <w:numPr>
                <w:ilvl w:val="1"/>
                <w:numId w:val="5"/>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理论成果</w:t>
            </w:r>
          </w:p>
          <w:p w14:paraId="51980984">
            <w:pPr>
              <w:pStyle w:val="24"/>
              <w:numPr>
                <w:ilvl w:val="0"/>
                <w:numId w:val="6"/>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基于CycleGAN循环一致性的跨模态身份特征提取与认证技术</w:t>
            </w:r>
          </w:p>
          <w:p w14:paraId="5753E45C">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（2）基于条件扩散模型残差身份特征的小样本开放集身份认证技术</w:t>
            </w:r>
          </w:p>
          <w:p w14:paraId="074CF2CE">
            <w:pPr>
              <w:pStyle w:val="24"/>
              <w:numPr>
                <w:ilvl w:val="1"/>
                <w:numId w:val="5"/>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实践成果</w:t>
            </w:r>
          </w:p>
          <w:p w14:paraId="0928A0B0">
            <w:pPr>
              <w:spacing w:line="440" w:lineRule="exact"/>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（1）实现基于人体发声振动信号多模态感知的VR用户身份认证原型系统</w:t>
            </w:r>
          </w:p>
          <w:p w14:paraId="07A65C78">
            <w:pPr>
              <w:pStyle w:val="24"/>
              <w:numPr>
                <w:ilvl w:val="1"/>
                <w:numId w:val="7"/>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成果形式</w:t>
            </w:r>
          </w:p>
          <w:p w14:paraId="4A1423B3">
            <w:pPr>
              <w:pStyle w:val="24"/>
              <w:numPr>
                <w:ilvl w:val="0"/>
                <w:numId w:val="8"/>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完成相关论文1～2篇</w:t>
            </w:r>
          </w:p>
          <w:p w14:paraId="06F206E7">
            <w:pPr>
              <w:pStyle w:val="24"/>
              <w:numPr>
                <w:ilvl w:val="0"/>
                <w:numId w:val="8"/>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发表国家发明专利1项</w:t>
            </w:r>
          </w:p>
          <w:p w14:paraId="13257B44">
            <w:pPr>
              <w:pStyle w:val="24"/>
              <w:numPr>
                <w:ilvl w:val="0"/>
                <w:numId w:val="8"/>
              </w:numPr>
              <w:spacing w:line="440" w:lineRule="exact"/>
              <w:ind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基于人体发声振动信号多模态感知的VR用户身份认证原型系统</w:t>
            </w:r>
          </w:p>
        </w:tc>
      </w:tr>
    </w:tbl>
    <w:p w14:paraId="57CBEBD8">
      <w:pPr>
        <w:spacing w:line="44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（二）论文工作进度与安排</w:t>
      </w:r>
    </w:p>
    <w:tbl>
      <w:tblPr>
        <w:tblStyle w:val="11"/>
        <w:tblW w:w="497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6"/>
        <w:gridCol w:w="5280"/>
        <w:gridCol w:w="2398"/>
      </w:tblGrid>
      <w:tr w14:paraId="7B1F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jc w:val="center"/>
        </w:trPr>
        <w:tc>
          <w:tcPr>
            <w:tcW w:w="994" w:type="pct"/>
            <w:vAlign w:val="center"/>
          </w:tcPr>
          <w:p w14:paraId="72D020D9">
            <w:pPr>
              <w:spacing w:line="2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起讫</w:t>
            </w:r>
          </w:p>
          <w:p w14:paraId="1472E498">
            <w:pPr>
              <w:spacing w:line="2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日期</w:t>
            </w:r>
          </w:p>
        </w:tc>
        <w:tc>
          <w:tcPr>
            <w:tcW w:w="2755" w:type="pct"/>
            <w:vAlign w:val="center"/>
          </w:tcPr>
          <w:p w14:paraId="5414DA3B">
            <w:pPr>
              <w:spacing w:line="2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工  作  内  容  和  要  求</w:t>
            </w:r>
          </w:p>
        </w:tc>
        <w:tc>
          <w:tcPr>
            <w:tcW w:w="1251" w:type="pct"/>
            <w:vAlign w:val="center"/>
          </w:tcPr>
          <w:p w14:paraId="14628CAE">
            <w:pPr>
              <w:spacing w:line="2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备  注</w:t>
            </w:r>
          </w:p>
        </w:tc>
      </w:tr>
      <w:tr w14:paraId="6FA7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994" w:type="pct"/>
          </w:tcPr>
          <w:p w14:paraId="0682E7BD">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w:t>
            </w:r>
            <w:r>
              <w:rPr>
                <w:color w:val="000000" w:themeColor="text1"/>
                <w:sz w:val="24"/>
                <w14:textFill>
                  <w14:solidFill>
                    <w14:schemeClr w14:val="tx1"/>
                  </w14:solidFill>
                </w14:textFill>
              </w:rPr>
              <w:t>02</w:t>
            </w:r>
            <w:r>
              <w:rPr>
                <w:rFonts w:hint="eastAsia"/>
                <w:color w:val="000000" w:themeColor="text1"/>
                <w:sz w:val="24"/>
                <w14:textFill>
                  <w14:solidFill>
                    <w14:schemeClr w14:val="tx1"/>
                  </w14:solidFill>
                </w14:textFill>
              </w:rPr>
              <w:t>5</w:t>
            </w:r>
            <w:r>
              <w:rPr>
                <w:color w:val="000000" w:themeColor="text1"/>
                <w:sz w:val="24"/>
                <w14:textFill>
                  <w14:solidFill>
                    <w14:schemeClr w14:val="tx1"/>
                  </w14:solidFill>
                </w14:textFill>
              </w:rPr>
              <w:t>.02~202</w:t>
            </w:r>
            <w:r>
              <w:rPr>
                <w:rFonts w:hint="eastAsia"/>
                <w:color w:val="000000" w:themeColor="text1"/>
                <w:sz w:val="24"/>
                <w14:textFill>
                  <w14:solidFill>
                    <w14:schemeClr w14:val="tx1"/>
                  </w14:solidFill>
                </w14:textFill>
              </w:rPr>
              <w:t>5</w:t>
            </w:r>
            <w:r>
              <w:rPr>
                <w:color w:val="000000" w:themeColor="text1"/>
                <w:sz w:val="24"/>
                <w14:textFill>
                  <w14:solidFill>
                    <w14:schemeClr w14:val="tx1"/>
                  </w14:solidFill>
                </w14:textFill>
              </w:rPr>
              <w:t>.06</w:t>
            </w:r>
          </w:p>
        </w:tc>
        <w:tc>
          <w:tcPr>
            <w:tcW w:w="2755" w:type="pct"/>
          </w:tcPr>
          <w:p w14:paraId="1957218F">
            <w:pPr>
              <w:pStyle w:val="9"/>
            </w:pPr>
            <w:r>
              <w:t xml:space="preserve">阅读资料，确定研究方向。 </w:t>
            </w:r>
          </w:p>
        </w:tc>
        <w:tc>
          <w:tcPr>
            <w:tcW w:w="1251" w:type="pct"/>
          </w:tcPr>
          <w:p w14:paraId="19CB8125">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已完成</w:t>
            </w:r>
          </w:p>
        </w:tc>
      </w:tr>
      <w:tr w14:paraId="740D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994" w:type="pct"/>
          </w:tcPr>
          <w:p w14:paraId="1CB1BC9E">
            <w:pPr>
              <w:pStyle w:val="9"/>
              <w:rPr>
                <w:rFonts w:hint="eastAsia"/>
              </w:rPr>
            </w:pPr>
            <w:r>
              <w:t>202</w:t>
            </w:r>
            <w:r>
              <w:rPr>
                <w:rFonts w:hint="eastAsia"/>
              </w:rPr>
              <w:t>5</w:t>
            </w:r>
            <w:r>
              <w:t>.07~202</w:t>
            </w:r>
            <w:r>
              <w:rPr>
                <w:rFonts w:hint="eastAsia"/>
              </w:rPr>
              <w:t>6</w:t>
            </w:r>
            <w:r>
              <w:t>.0</w:t>
            </w:r>
            <w:r>
              <w:rPr>
                <w:rFonts w:hint="eastAsia"/>
              </w:rPr>
              <w:t>2</w:t>
            </w:r>
          </w:p>
        </w:tc>
        <w:tc>
          <w:tcPr>
            <w:tcW w:w="2755" w:type="pct"/>
          </w:tcPr>
          <w:p w14:paraId="40AA30E6">
            <w:pPr>
              <w:pStyle w:val="9"/>
            </w:pPr>
            <w:r>
              <w:t>查找相关文献，调查VR</w:t>
            </w:r>
            <w:r>
              <w:rPr>
                <w:rFonts w:hint="eastAsia"/>
              </w:rPr>
              <w:t>用户身份认证</w:t>
            </w:r>
            <w:r>
              <w:t xml:space="preserve">的应用与实现，并采集数据进行初步的可行性研究。 </w:t>
            </w:r>
          </w:p>
        </w:tc>
        <w:tc>
          <w:tcPr>
            <w:tcW w:w="1251" w:type="pct"/>
          </w:tcPr>
          <w:p w14:paraId="1FA5CB1F">
            <w:pPr>
              <w:spacing w:line="240" w:lineRule="exact"/>
              <w:jc w:val="center"/>
              <w:rPr>
                <w:color w:val="000000" w:themeColor="text1"/>
                <w:sz w:val="24"/>
                <w14:textFill>
                  <w14:solidFill>
                    <w14:schemeClr w14:val="tx1"/>
                  </w14:solidFill>
                </w14:textFill>
              </w:rPr>
            </w:pPr>
          </w:p>
          <w:p w14:paraId="3FF9954A">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已完成</w:t>
            </w:r>
          </w:p>
        </w:tc>
      </w:tr>
      <w:tr w14:paraId="528F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994" w:type="pct"/>
          </w:tcPr>
          <w:p w14:paraId="19D102D0">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2026.03</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2026.07</w:t>
            </w:r>
          </w:p>
        </w:tc>
        <w:tc>
          <w:tcPr>
            <w:tcW w:w="2755" w:type="pct"/>
          </w:tcPr>
          <w:p w14:paraId="1CC44868">
            <w:pPr>
              <w:pStyle w:val="9"/>
            </w:pPr>
            <w:r>
              <w:t>进行</w:t>
            </w:r>
            <w:r>
              <w:rPr>
                <w:rFonts w:hint="eastAsia"/>
              </w:rPr>
              <w:t>人体发声振动信号的</w:t>
            </w:r>
            <w:r>
              <w:t>VR</w:t>
            </w:r>
            <w:r>
              <w:rPr>
                <w:rFonts w:hint="eastAsia"/>
              </w:rPr>
              <w:t>用户认证的研</w:t>
            </w:r>
            <w:r>
              <w:t xml:space="preserve">究工作，开发基本的数据采集系统，进一步采集数据。 </w:t>
            </w:r>
          </w:p>
        </w:tc>
        <w:tc>
          <w:tcPr>
            <w:tcW w:w="1251" w:type="pct"/>
          </w:tcPr>
          <w:p w14:paraId="3C742997">
            <w:pPr>
              <w:spacing w:line="240" w:lineRule="exact"/>
              <w:jc w:val="center"/>
              <w:rPr>
                <w:color w:val="000000" w:themeColor="text1"/>
                <w:sz w:val="24"/>
                <w14:textFill>
                  <w14:solidFill>
                    <w14:schemeClr w14:val="tx1"/>
                  </w14:solidFill>
                </w14:textFill>
              </w:rPr>
            </w:pPr>
          </w:p>
          <w:p w14:paraId="5D6656A7">
            <w:pPr>
              <w:spacing w:line="240" w:lineRule="exact"/>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已完成</w:t>
            </w:r>
          </w:p>
        </w:tc>
      </w:tr>
      <w:tr w14:paraId="0EF3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994" w:type="pct"/>
          </w:tcPr>
          <w:p w14:paraId="2E5A4568">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2026.07</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2026.11</w:t>
            </w:r>
          </w:p>
        </w:tc>
        <w:tc>
          <w:tcPr>
            <w:tcW w:w="2755" w:type="pct"/>
          </w:tcPr>
          <w:p w14:paraId="5348D579">
            <w:pPr>
              <w:pStyle w:val="9"/>
            </w:pPr>
            <w:r>
              <w:t>研究基于</w:t>
            </w:r>
            <w:r>
              <w:rPr>
                <w:rFonts w:hint="eastAsia"/>
              </w:rPr>
              <w:t>模态转化的身份认证技</w:t>
            </w:r>
            <w:r>
              <w:t>术，据此进一步提高</w:t>
            </w:r>
            <w:r>
              <w:rPr>
                <w:rFonts w:hint="eastAsia"/>
              </w:rPr>
              <w:t>认证</w:t>
            </w:r>
            <w:r>
              <w:t xml:space="preserve">准确率和系统可用性。 </w:t>
            </w:r>
          </w:p>
        </w:tc>
        <w:tc>
          <w:tcPr>
            <w:tcW w:w="1251" w:type="pct"/>
          </w:tcPr>
          <w:p w14:paraId="2591706A">
            <w:pPr>
              <w:spacing w:line="240" w:lineRule="exact"/>
              <w:jc w:val="center"/>
              <w:rPr>
                <w:color w:val="000000" w:themeColor="text1"/>
                <w:sz w:val="24"/>
                <w14:textFill>
                  <w14:solidFill>
                    <w14:schemeClr w14:val="tx1"/>
                  </w14:solidFill>
                </w14:textFill>
              </w:rPr>
            </w:pPr>
          </w:p>
          <w:p w14:paraId="1D098DCC">
            <w:pPr>
              <w:spacing w:line="240" w:lineRule="exact"/>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进行中</w:t>
            </w:r>
          </w:p>
        </w:tc>
      </w:tr>
      <w:tr w14:paraId="4953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994" w:type="pct"/>
          </w:tcPr>
          <w:p w14:paraId="672B1129">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2026.12</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2027.02</w:t>
            </w:r>
          </w:p>
        </w:tc>
        <w:tc>
          <w:tcPr>
            <w:tcW w:w="2755" w:type="pct"/>
          </w:tcPr>
          <w:p w14:paraId="044D523E">
            <w:pPr>
              <w:pStyle w:val="9"/>
            </w:pPr>
            <w:r>
              <w:t>结合以上理论和实验工作，实现</w:t>
            </w:r>
            <w:r>
              <w:rPr>
                <w:rFonts w:hint="eastAsia"/>
              </w:rPr>
              <w:t>基于人体发声振动信号模态转化的身份认证原</w:t>
            </w:r>
            <w:r>
              <w:t xml:space="preserve">型系统，设计实验验证系统的可用性。 </w:t>
            </w:r>
          </w:p>
        </w:tc>
        <w:tc>
          <w:tcPr>
            <w:tcW w:w="1251" w:type="pct"/>
          </w:tcPr>
          <w:p w14:paraId="39F1C657">
            <w:pPr>
              <w:spacing w:line="240" w:lineRule="exact"/>
              <w:jc w:val="center"/>
              <w:rPr>
                <w:color w:val="000000" w:themeColor="text1"/>
                <w:sz w:val="24"/>
                <w14:textFill>
                  <w14:solidFill>
                    <w14:schemeClr w14:val="tx1"/>
                  </w14:solidFill>
                </w14:textFill>
              </w:rPr>
            </w:pPr>
          </w:p>
          <w:p w14:paraId="04F7600B">
            <w:pPr>
              <w:spacing w:line="240" w:lineRule="exact"/>
              <w:jc w:val="center"/>
              <w:rPr>
                <w:color w:val="000000" w:themeColor="text1"/>
                <w:sz w:val="24"/>
                <w14:textFill>
                  <w14:solidFill>
                    <w14:schemeClr w14:val="tx1"/>
                  </w14:solidFill>
                </w14:textFill>
              </w:rPr>
            </w:pPr>
          </w:p>
          <w:p w14:paraId="06100D58">
            <w:pPr>
              <w:spacing w:line="240" w:lineRule="exact"/>
              <w:jc w:val="center"/>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待完成</w:t>
            </w:r>
          </w:p>
        </w:tc>
      </w:tr>
      <w:tr w14:paraId="0ECA1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94" w:type="pct"/>
          </w:tcPr>
          <w:p w14:paraId="38760FBA">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2027.03</w:t>
            </w: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2027.05</w:t>
            </w:r>
          </w:p>
        </w:tc>
        <w:tc>
          <w:tcPr>
            <w:tcW w:w="2755" w:type="pct"/>
          </w:tcPr>
          <w:p w14:paraId="7083E94C">
            <w:pPr>
              <w:pStyle w:val="9"/>
            </w:pPr>
            <w:r>
              <w:t xml:space="preserve">撰写论文、准备答辩 </w:t>
            </w:r>
          </w:p>
        </w:tc>
        <w:tc>
          <w:tcPr>
            <w:tcW w:w="1251" w:type="pct"/>
          </w:tcPr>
          <w:p w14:paraId="5FF0DA56">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待完成</w:t>
            </w:r>
          </w:p>
        </w:tc>
      </w:tr>
      <w:tr w14:paraId="6155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8" w:hRule="atLeast"/>
          <w:jc w:val="center"/>
        </w:trPr>
        <w:tc>
          <w:tcPr>
            <w:tcW w:w="994" w:type="pct"/>
          </w:tcPr>
          <w:p w14:paraId="74222F93">
            <w:pPr>
              <w:spacing w:line="240" w:lineRule="exact"/>
              <w:jc w:val="center"/>
              <w:rPr>
                <w:color w:val="000000" w:themeColor="text1"/>
                <w:sz w:val="24"/>
                <w14:textFill>
                  <w14:solidFill>
                    <w14:schemeClr w14:val="tx1"/>
                  </w14:solidFill>
                </w14:textFill>
              </w:rPr>
            </w:pPr>
          </w:p>
          <w:p w14:paraId="4DAD4E99">
            <w:pPr>
              <w:spacing w:line="240" w:lineRule="exact"/>
              <w:jc w:val="center"/>
              <w:rPr>
                <w:color w:val="000000" w:themeColor="text1"/>
                <w:sz w:val="24"/>
                <w14:textFill>
                  <w14:solidFill>
                    <w14:schemeClr w14:val="tx1"/>
                  </w14:solidFill>
                </w14:textFill>
              </w:rPr>
            </w:pPr>
          </w:p>
          <w:p w14:paraId="6DFA416D">
            <w:pPr>
              <w:spacing w:line="240" w:lineRule="exact"/>
              <w:jc w:val="center"/>
              <w:rPr>
                <w:color w:val="000000" w:themeColor="text1"/>
                <w:sz w:val="24"/>
                <w14:textFill>
                  <w14:solidFill>
                    <w14:schemeClr w14:val="tx1"/>
                  </w14:solidFill>
                </w14:textFill>
              </w:rPr>
            </w:pPr>
          </w:p>
          <w:p w14:paraId="701C90D1">
            <w:pPr>
              <w:spacing w:line="240" w:lineRule="exact"/>
              <w:jc w:val="center"/>
              <w:rPr>
                <w:color w:val="000000" w:themeColor="text1"/>
                <w:sz w:val="24"/>
                <w14:textFill>
                  <w14:solidFill>
                    <w14:schemeClr w14:val="tx1"/>
                  </w14:solidFill>
                </w14:textFill>
              </w:rPr>
            </w:pPr>
          </w:p>
          <w:p w14:paraId="031267ED">
            <w:pPr>
              <w:spacing w:line="26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学校指导教师对开题报告的综合意见</w:t>
            </w:r>
          </w:p>
        </w:tc>
        <w:tc>
          <w:tcPr>
            <w:tcW w:w="4006" w:type="pct"/>
            <w:gridSpan w:val="2"/>
          </w:tcPr>
          <w:p w14:paraId="7EE64D99">
            <w:pPr>
              <w:spacing w:line="440" w:lineRule="exact"/>
              <w:jc w:val="left"/>
              <w:rPr>
                <w:color w:val="000000" w:themeColor="text1"/>
                <w:sz w:val="24"/>
                <w14:textFill>
                  <w14:solidFill>
                    <w14:schemeClr w14:val="tx1"/>
                  </w14:solidFill>
                </w14:textFill>
              </w:rPr>
            </w:pPr>
          </w:p>
          <w:p w14:paraId="18D83FD7">
            <w:pPr>
              <w:spacing w:line="440" w:lineRule="exact"/>
              <w:jc w:val="left"/>
              <w:rPr>
                <w:color w:val="000000" w:themeColor="text1"/>
                <w:sz w:val="24"/>
                <w14:textFill>
                  <w14:solidFill>
                    <w14:schemeClr w14:val="tx1"/>
                  </w14:solidFill>
                </w14:textFill>
              </w:rPr>
            </w:pPr>
          </w:p>
          <w:p w14:paraId="49859EDB">
            <w:pPr>
              <w:spacing w:line="440" w:lineRule="exact"/>
              <w:jc w:val="left"/>
              <w:rPr>
                <w:color w:val="000000" w:themeColor="text1"/>
                <w:sz w:val="24"/>
                <w14:textFill>
                  <w14:solidFill>
                    <w14:schemeClr w14:val="tx1"/>
                  </w14:solidFill>
                </w14:textFill>
              </w:rPr>
            </w:pPr>
          </w:p>
          <w:p w14:paraId="47EDE35C">
            <w:pPr>
              <w:spacing w:line="440" w:lineRule="exact"/>
              <w:jc w:val="left"/>
              <w:rPr>
                <w:color w:val="000000" w:themeColor="text1"/>
                <w:sz w:val="24"/>
                <w14:textFill>
                  <w14:solidFill>
                    <w14:schemeClr w14:val="tx1"/>
                  </w14:solidFill>
                </w14:textFill>
              </w:rPr>
            </w:pPr>
          </w:p>
          <w:p w14:paraId="5C89AD72">
            <w:pPr>
              <w:spacing w:line="440" w:lineRule="exact"/>
              <w:jc w:val="left"/>
              <w:rPr>
                <w:color w:val="000000" w:themeColor="text1"/>
                <w:sz w:val="24"/>
                <w14:textFill>
                  <w14:solidFill>
                    <w14:schemeClr w14:val="tx1"/>
                  </w14:solidFill>
                </w14:textFill>
              </w:rPr>
            </w:pPr>
          </w:p>
          <w:p w14:paraId="7AF518AB">
            <w:pPr>
              <w:spacing w:line="440" w:lineRule="exact"/>
              <w:jc w:val="left"/>
              <w:rPr>
                <w:rFonts w:hint="eastAsia"/>
                <w:color w:val="000000" w:themeColor="text1"/>
                <w:sz w:val="24"/>
                <w14:textFill>
                  <w14:solidFill>
                    <w14:schemeClr w14:val="tx1"/>
                  </w14:solidFill>
                </w14:textFill>
              </w:rPr>
            </w:pPr>
          </w:p>
          <w:p w14:paraId="45075BFB">
            <w:pPr>
              <w:spacing w:line="440" w:lineRule="exact"/>
              <w:jc w:val="left"/>
              <w:rPr>
                <w:color w:val="000000" w:themeColor="text1"/>
                <w:sz w:val="24"/>
                <w14:textFill>
                  <w14:solidFill>
                    <w14:schemeClr w14:val="tx1"/>
                  </w14:solidFill>
                </w14:textFill>
              </w:rPr>
            </w:pPr>
          </w:p>
          <w:p w14:paraId="5223BB25">
            <w:pPr>
              <w:spacing w:line="440" w:lineRule="exact"/>
              <w:jc w:val="left"/>
              <w:rPr>
                <w:color w:val="000000" w:themeColor="text1"/>
                <w:sz w:val="24"/>
                <w14:textFill>
                  <w14:solidFill>
                    <w14:schemeClr w14:val="tx1"/>
                  </w14:solidFill>
                </w14:textFill>
              </w:rPr>
            </w:pPr>
          </w:p>
          <w:p w14:paraId="09FA0DF5">
            <w:pPr>
              <w:spacing w:line="440" w:lineRule="exact"/>
              <w:jc w:val="left"/>
              <w:rPr>
                <w:color w:val="000000" w:themeColor="text1"/>
                <w:sz w:val="24"/>
                <w14:textFill>
                  <w14:solidFill>
                    <w14:schemeClr w14:val="tx1"/>
                  </w14:solidFill>
                </w14:textFill>
              </w:rPr>
            </w:pPr>
          </w:p>
          <w:p w14:paraId="624556BC">
            <w:pPr>
              <w:spacing w:line="440" w:lineRule="exact"/>
              <w:ind w:firstLine="372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指导教师（签字）</w:t>
            </w:r>
          </w:p>
          <w:p w14:paraId="123B0D01">
            <w:pPr>
              <w:spacing w:line="440" w:lineRule="exact"/>
              <w:ind w:firstLine="372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年    月    日</w:t>
            </w:r>
          </w:p>
        </w:tc>
      </w:tr>
      <w:tr w14:paraId="7C8E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7" w:hRule="atLeast"/>
          <w:jc w:val="center"/>
        </w:trPr>
        <w:tc>
          <w:tcPr>
            <w:tcW w:w="994" w:type="pct"/>
            <w:tcBorders>
              <w:bottom w:val="single" w:color="auto" w:sz="4" w:space="0"/>
            </w:tcBorders>
          </w:tcPr>
          <w:p w14:paraId="03F232E7">
            <w:pPr>
              <w:spacing w:line="260" w:lineRule="exact"/>
              <w:jc w:val="center"/>
              <w:rPr>
                <w:color w:val="000000" w:themeColor="text1"/>
                <w:sz w:val="24"/>
                <w14:textFill>
                  <w14:solidFill>
                    <w14:schemeClr w14:val="tx1"/>
                  </w14:solidFill>
                </w14:textFill>
              </w:rPr>
            </w:pPr>
          </w:p>
          <w:p w14:paraId="6971AB3F">
            <w:pPr>
              <w:spacing w:line="260" w:lineRule="exact"/>
              <w:jc w:val="center"/>
              <w:rPr>
                <w:color w:val="000000" w:themeColor="text1"/>
                <w:sz w:val="24"/>
                <w14:textFill>
                  <w14:solidFill>
                    <w14:schemeClr w14:val="tx1"/>
                  </w14:solidFill>
                </w14:textFill>
              </w:rPr>
            </w:pPr>
          </w:p>
          <w:p w14:paraId="42CC6F18">
            <w:pPr>
              <w:spacing w:line="260" w:lineRule="exact"/>
              <w:jc w:val="center"/>
              <w:rPr>
                <w:color w:val="000000" w:themeColor="text1"/>
                <w:sz w:val="24"/>
                <w14:textFill>
                  <w14:solidFill>
                    <w14:schemeClr w14:val="tx1"/>
                  </w14:solidFill>
                </w14:textFill>
              </w:rPr>
            </w:pPr>
          </w:p>
          <w:p w14:paraId="19414F89">
            <w:pPr>
              <w:spacing w:line="260" w:lineRule="exact"/>
              <w:jc w:val="center"/>
              <w:rPr>
                <w:color w:val="000000" w:themeColor="text1"/>
                <w:sz w:val="24"/>
                <w14:textFill>
                  <w14:solidFill>
                    <w14:schemeClr w14:val="tx1"/>
                  </w14:solidFill>
                </w14:textFill>
              </w:rPr>
            </w:pPr>
          </w:p>
          <w:p w14:paraId="1C87BA5E">
            <w:pPr>
              <w:spacing w:line="260" w:lineRule="exact"/>
              <w:jc w:val="center"/>
              <w:rPr>
                <w:color w:val="000000" w:themeColor="text1"/>
                <w:sz w:val="24"/>
                <w14:textFill>
                  <w14:solidFill>
                    <w14:schemeClr w14:val="tx1"/>
                  </w14:solidFill>
                </w14:textFill>
              </w:rPr>
            </w:pPr>
          </w:p>
          <w:p w14:paraId="674308FF">
            <w:pPr>
              <w:spacing w:line="360" w:lineRule="auto"/>
              <w:ind w:left="-202" w:leftChars="-96" w:right="-107" w:rightChars="-51"/>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校外指导</w:t>
            </w:r>
          </w:p>
          <w:p w14:paraId="7DD64CD7">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教师对开题报告的综合意见</w:t>
            </w:r>
          </w:p>
        </w:tc>
        <w:tc>
          <w:tcPr>
            <w:tcW w:w="4006" w:type="pct"/>
            <w:gridSpan w:val="2"/>
            <w:tcBorders>
              <w:bottom w:val="single" w:color="auto" w:sz="4" w:space="0"/>
            </w:tcBorders>
          </w:tcPr>
          <w:p w14:paraId="219BEE03">
            <w:pPr>
              <w:spacing w:line="440" w:lineRule="exact"/>
              <w:jc w:val="left"/>
              <w:rPr>
                <w:color w:val="000000" w:themeColor="text1"/>
                <w:sz w:val="24"/>
                <w14:textFill>
                  <w14:solidFill>
                    <w14:schemeClr w14:val="tx1"/>
                  </w14:solidFill>
                </w14:textFill>
              </w:rPr>
            </w:pPr>
          </w:p>
          <w:p w14:paraId="6B410AFC">
            <w:pPr>
              <w:spacing w:line="440" w:lineRule="exact"/>
              <w:jc w:val="left"/>
              <w:rPr>
                <w:color w:val="000000" w:themeColor="text1"/>
                <w:sz w:val="24"/>
                <w14:textFill>
                  <w14:solidFill>
                    <w14:schemeClr w14:val="tx1"/>
                  </w14:solidFill>
                </w14:textFill>
              </w:rPr>
            </w:pPr>
          </w:p>
          <w:p w14:paraId="0B46E9CB">
            <w:pPr>
              <w:spacing w:line="440" w:lineRule="exact"/>
              <w:jc w:val="left"/>
              <w:rPr>
                <w:rFonts w:hint="eastAsia"/>
                <w:color w:val="000000" w:themeColor="text1"/>
                <w:sz w:val="24"/>
                <w14:textFill>
                  <w14:solidFill>
                    <w14:schemeClr w14:val="tx1"/>
                  </w14:solidFill>
                </w14:textFill>
              </w:rPr>
            </w:pPr>
          </w:p>
          <w:p w14:paraId="227D0A61">
            <w:pPr>
              <w:spacing w:line="440" w:lineRule="exact"/>
              <w:jc w:val="left"/>
              <w:rPr>
                <w:color w:val="000000" w:themeColor="text1"/>
                <w:sz w:val="24"/>
                <w14:textFill>
                  <w14:solidFill>
                    <w14:schemeClr w14:val="tx1"/>
                  </w14:solidFill>
                </w14:textFill>
              </w:rPr>
            </w:pPr>
          </w:p>
          <w:p w14:paraId="2305E320">
            <w:pPr>
              <w:spacing w:line="440" w:lineRule="exact"/>
              <w:jc w:val="left"/>
              <w:rPr>
                <w:color w:val="000000" w:themeColor="text1"/>
                <w:sz w:val="24"/>
                <w14:textFill>
                  <w14:solidFill>
                    <w14:schemeClr w14:val="tx1"/>
                  </w14:solidFill>
                </w14:textFill>
              </w:rPr>
            </w:pPr>
          </w:p>
          <w:p w14:paraId="692B5434">
            <w:pPr>
              <w:spacing w:line="440" w:lineRule="exact"/>
              <w:jc w:val="left"/>
              <w:rPr>
                <w:color w:val="000000" w:themeColor="text1"/>
                <w:sz w:val="24"/>
                <w14:textFill>
                  <w14:solidFill>
                    <w14:schemeClr w14:val="tx1"/>
                  </w14:solidFill>
                </w14:textFill>
              </w:rPr>
            </w:pPr>
          </w:p>
          <w:p w14:paraId="38E7ED19">
            <w:pPr>
              <w:spacing w:line="440" w:lineRule="exact"/>
              <w:jc w:val="left"/>
              <w:rPr>
                <w:color w:val="000000" w:themeColor="text1"/>
                <w:sz w:val="24"/>
                <w14:textFill>
                  <w14:solidFill>
                    <w14:schemeClr w14:val="tx1"/>
                  </w14:solidFill>
                </w14:textFill>
              </w:rPr>
            </w:pPr>
          </w:p>
          <w:p w14:paraId="72CE5022">
            <w:pPr>
              <w:spacing w:line="440" w:lineRule="exact"/>
              <w:ind w:firstLine="3600" w:firstLineChars="1500"/>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指导教师（签字）</w:t>
            </w:r>
          </w:p>
          <w:p w14:paraId="2BD9F81E">
            <w:pPr>
              <w:spacing w:line="440" w:lineRule="exact"/>
              <w:ind w:firstLine="3600" w:firstLineChars="1500"/>
              <w:jc w:val="left"/>
              <w:rPr>
                <w:rFonts w:hint="eastAsia"/>
                <w:color w:val="000000" w:themeColor="text1"/>
                <w:sz w:val="24"/>
                <w14:textFill>
                  <w14:solidFill>
                    <w14:schemeClr w14:val="tx1"/>
                  </w14:solidFill>
                </w14:textFill>
              </w:rPr>
            </w:pPr>
          </w:p>
          <w:p w14:paraId="512D4A83">
            <w:pPr>
              <w:spacing w:line="440"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年    月    日</w:t>
            </w:r>
          </w:p>
        </w:tc>
      </w:tr>
      <w:tr w14:paraId="30BD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47" w:hRule="atLeast"/>
          <w:jc w:val="center"/>
        </w:trPr>
        <w:tc>
          <w:tcPr>
            <w:tcW w:w="994" w:type="pct"/>
            <w:tcBorders>
              <w:bottom w:val="single" w:color="auto" w:sz="4" w:space="0"/>
              <w:right w:val="single" w:color="auto" w:sz="4" w:space="0"/>
            </w:tcBorders>
            <w:vAlign w:val="center"/>
          </w:tcPr>
          <w:p w14:paraId="33397DE5">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开</w:t>
            </w:r>
          </w:p>
          <w:p w14:paraId="0B719EBC">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题</w:t>
            </w:r>
          </w:p>
          <w:p w14:paraId="74FC4D0D">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报</w:t>
            </w:r>
          </w:p>
          <w:p w14:paraId="6810624A">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告</w:t>
            </w:r>
          </w:p>
          <w:p w14:paraId="48F3ED47">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审</w:t>
            </w:r>
          </w:p>
          <w:p w14:paraId="179FB902">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议</w:t>
            </w:r>
          </w:p>
          <w:p w14:paraId="2959FE34">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情</w:t>
            </w:r>
          </w:p>
          <w:p w14:paraId="248574A7">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况</w:t>
            </w:r>
          </w:p>
          <w:p w14:paraId="5F6FFD36">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记</w:t>
            </w:r>
          </w:p>
          <w:p w14:paraId="0A25F36B">
            <w:pPr>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录</w:t>
            </w:r>
          </w:p>
        </w:tc>
        <w:tc>
          <w:tcPr>
            <w:tcW w:w="4006" w:type="pct"/>
            <w:gridSpan w:val="2"/>
            <w:tcBorders>
              <w:left w:val="nil"/>
              <w:bottom w:val="single" w:color="auto" w:sz="4" w:space="0"/>
            </w:tcBorders>
            <w:vAlign w:val="bottom"/>
          </w:tcPr>
          <w:p w14:paraId="072D8A55">
            <w:pPr>
              <w:spacing w:line="440" w:lineRule="exact"/>
              <w:jc w:val="left"/>
              <w:rPr>
                <w:color w:val="000000" w:themeColor="text1"/>
                <w:sz w:val="24"/>
                <w14:textFill>
                  <w14:solidFill>
                    <w14:schemeClr w14:val="tx1"/>
                  </w14:solidFill>
                </w14:textFill>
              </w:rPr>
            </w:pPr>
            <w:r>
              <w:rPr>
                <w:color w:val="000000" w:themeColor="text1"/>
                <w:sz w:val="24"/>
                <w14:textFill>
                  <w14:solidFill>
                    <w14:schemeClr w14:val="tx1"/>
                  </w14:solidFill>
                </w14:textFill>
              </w:rPr>
              <w:t>１、审议小组成员（硕士至少5人，博士5－7人，其中1人须为校外导师）：</w:t>
            </w:r>
          </w:p>
          <w:p w14:paraId="24641687">
            <w:pPr>
              <w:spacing w:line="440" w:lineRule="exact"/>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组长：</w:t>
            </w:r>
          </w:p>
          <w:p w14:paraId="426B0A6D">
            <w:pPr>
              <w:spacing w:line="440" w:lineRule="exact"/>
              <w:ind w:firstLine="480" w:firstLineChars="200"/>
              <w:rPr>
                <w:color w:val="000000" w:themeColor="text1"/>
                <w:sz w:val="24"/>
                <w14:textFill>
                  <w14:solidFill>
                    <w14:schemeClr w14:val="tx1"/>
                  </w14:solidFill>
                </w14:textFill>
              </w:rPr>
            </w:pPr>
            <w:r>
              <w:rPr>
                <w:color w:val="000000" w:themeColor="text1"/>
                <w:sz w:val="24"/>
                <w14:textFill>
                  <w14:solidFill>
                    <w14:schemeClr w14:val="tx1"/>
                  </w14:solidFill>
                </w14:textFill>
              </w:rPr>
              <w:t>成员：</w:t>
            </w:r>
          </w:p>
          <w:p w14:paraId="47A5902B">
            <w:pPr>
              <w:spacing w:line="44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２、审议小组意见</w:t>
            </w:r>
          </w:p>
          <w:p w14:paraId="0ABCCC50">
            <w:pPr>
              <w:spacing w:line="440" w:lineRule="exact"/>
              <w:rPr>
                <w:color w:val="000000" w:themeColor="text1"/>
                <w:sz w:val="24"/>
                <w14:textFill>
                  <w14:solidFill>
                    <w14:schemeClr w14:val="tx1"/>
                  </w14:solidFill>
                </w14:textFill>
              </w:rPr>
            </w:pPr>
          </w:p>
          <w:p w14:paraId="7F9E8E4D">
            <w:pPr>
              <w:spacing w:line="44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３、投票表决结果</w:t>
            </w:r>
          </w:p>
          <w:p w14:paraId="49AE3FB0">
            <w:pPr>
              <w:spacing w:line="440" w:lineRule="exact"/>
              <w:ind w:firstLine="494" w:firstLineChars="206"/>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审议小组出席 </w:t>
            </w:r>
            <w:r>
              <w:rPr>
                <w:color w:val="000000" w:themeColor="text1"/>
                <w:sz w:val="24"/>
                <w:u w:val="single"/>
                <w14:textFill>
                  <w14:solidFill>
                    <w14:schemeClr w14:val="tx1"/>
                  </w14:solidFill>
                </w14:textFill>
              </w:rPr>
              <w:t xml:space="preserve">       </w:t>
            </w:r>
            <w:r>
              <w:rPr>
                <w:color w:val="000000" w:themeColor="text1"/>
                <w:sz w:val="24"/>
                <w14:textFill>
                  <w14:solidFill>
                    <w14:schemeClr w14:val="tx1"/>
                  </w14:solidFill>
                </w14:textFill>
              </w:rPr>
              <w:t xml:space="preserve"> 人；通过 </w:t>
            </w:r>
            <w:r>
              <w:rPr>
                <w:color w:val="000000" w:themeColor="text1"/>
                <w:sz w:val="24"/>
                <w:u w:val="single"/>
                <w14:textFill>
                  <w14:solidFill>
                    <w14:schemeClr w14:val="tx1"/>
                  </w14:solidFill>
                </w14:textFill>
              </w:rPr>
              <w:t xml:space="preserve">      </w:t>
            </w:r>
            <w:r>
              <w:rPr>
                <w:color w:val="000000" w:themeColor="text1"/>
                <w:sz w:val="24"/>
                <w14:textFill>
                  <w14:solidFill>
                    <w14:schemeClr w14:val="tx1"/>
                  </w14:solidFill>
                </w14:textFill>
              </w:rPr>
              <w:t xml:space="preserve"> 人；不通过 </w:t>
            </w:r>
            <w:r>
              <w:rPr>
                <w:color w:val="000000" w:themeColor="text1"/>
                <w:sz w:val="24"/>
                <w:u w:val="single"/>
                <w14:textFill>
                  <w14:solidFill>
                    <w14:schemeClr w14:val="tx1"/>
                  </w14:solidFill>
                </w14:textFill>
              </w:rPr>
              <w:t xml:space="preserve">      </w:t>
            </w:r>
            <w:r>
              <w:rPr>
                <w:color w:val="000000" w:themeColor="text1"/>
                <w:sz w:val="24"/>
                <w14:textFill>
                  <w14:solidFill>
                    <w14:schemeClr w14:val="tx1"/>
                  </w14:solidFill>
                </w14:textFill>
              </w:rPr>
              <w:t xml:space="preserve"> 人。</w:t>
            </w:r>
          </w:p>
          <w:p w14:paraId="1E67A9AC">
            <w:pPr>
              <w:spacing w:line="440" w:lineRule="exact"/>
              <w:ind w:firstLine="494" w:firstLineChars="206"/>
              <w:rPr>
                <w:color w:val="000000" w:themeColor="text1"/>
                <w:sz w:val="24"/>
                <w14:textFill>
                  <w14:solidFill>
                    <w14:schemeClr w14:val="tx1"/>
                  </w14:solidFill>
                </w14:textFill>
              </w:rPr>
            </w:pPr>
            <w:r>
              <w:rPr>
                <w:color w:val="000000" w:themeColor="text1"/>
                <w:sz w:val="24"/>
                <w14:textFill>
                  <w14:solidFill>
                    <w14:schemeClr w14:val="tx1"/>
                  </w14:solidFill>
                </w14:textFill>
              </w:rPr>
              <w:t>开题报告质量</w:t>
            </w:r>
            <w:r>
              <w:rPr>
                <w:color w:val="000000" w:themeColor="text1"/>
                <w:sz w:val="24"/>
                <w:u w:val="single"/>
                <w14:textFill>
                  <w14:solidFill>
                    <w14:schemeClr w14:val="tx1"/>
                  </w14:solidFill>
                </w14:textFill>
              </w:rPr>
              <w:t xml:space="preserve">            （优、良、中、通过）</w:t>
            </w:r>
          </w:p>
          <w:p w14:paraId="4DE94560">
            <w:pPr>
              <w:spacing w:line="440" w:lineRule="exact"/>
              <w:rPr>
                <w:color w:val="000000" w:themeColor="text1"/>
                <w:sz w:val="24"/>
                <w14:textFill>
                  <w14:solidFill>
                    <w14:schemeClr w14:val="tx1"/>
                  </w14:solidFill>
                </w14:textFill>
              </w:rPr>
            </w:pPr>
            <w:r>
              <w:rPr>
                <w:color w:val="000000" w:themeColor="text1"/>
                <w:sz w:val="24"/>
                <w14:textFill>
                  <w14:solidFill>
                    <w14:schemeClr w14:val="tx1"/>
                  </w14:solidFill>
                </w14:textFill>
              </w:rPr>
              <w:t>４、审议小组组长（签名）</w:t>
            </w:r>
          </w:p>
          <w:p w14:paraId="64016881">
            <w:pPr>
              <w:spacing w:line="440" w:lineRule="exact"/>
              <w:ind w:firstLine="480" w:firstLineChars="200"/>
              <w:rPr>
                <w:rFonts w:hint="eastAsia"/>
                <w:color w:val="000000" w:themeColor="text1"/>
                <w:sz w:val="24"/>
                <w14:textFill>
                  <w14:solidFill>
                    <w14:schemeClr w14:val="tx1"/>
                  </w14:solidFill>
                </w14:textFill>
              </w:rPr>
            </w:pPr>
            <w:r>
              <w:rPr>
                <w:color w:val="000000" w:themeColor="text1"/>
                <w:sz w:val="24"/>
                <w14:textFill>
                  <w14:solidFill>
                    <w14:schemeClr w14:val="tx1"/>
                  </w14:solidFill>
                </w14:textFill>
              </w:rPr>
              <w:t>审议小组成员（签名）</w:t>
            </w:r>
          </w:p>
          <w:p w14:paraId="5D42DCF6">
            <w:pPr>
              <w:spacing w:line="440" w:lineRule="exact"/>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年   月   日</w:t>
            </w:r>
          </w:p>
        </w:tc>
      </w:tr>
      <w:tr w14:paraId="1CC1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4" w:hRule="atLeast"/>
          <w:jc w:val="center"/>
        </w:trPr>
        <w:tc>
          <w:tcPr>
            <w:tcW w:w="5000" w:type="pct"/>
            <w:gridSpan w:val="3"/>
          </w:tcPr>
          <w:p w14:paraId="4B55E440">
            <w:pPr>
              <w:spacing w:line="440" w:lineRule="exact"/>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院（系、所）意见：</w:t>
            </w:r>
          </w:p>
          <w:p w14:paraId="4BD041EB">
            <w:pPr>
              <w:spacing w:line="440" w:lineRule="exact"/>
              <w:ind w:firstLine="480"/>
              <w:rPr>
                <w:rFonts w:hint="eastAsia"/>
                <w:color w:val="000000" w:themeColor="text1"/>
                <w:sz w:val="24"/>
                <w14:textFill>
                  <w14:solidFill>
                    <w14:schemeClr w14:val="tx1"/>
                  </w14:solidFill>
                </w14:textFill>
              </w:rPr>
            </w:pPr>
          </w:p>
          <w:p w14:paraId="3DC1C99A">
            <w:pPr>
              <w:spacing w:line="440" w:lineRule="exact"/>
              <w:jc w:val="center"/>
              <w:rPr>
                <w:color w:val="000000" w:themeColor="text1"/>
                <w:sz w:val="24"/>
                <w14:textFill>
                  <w14:solidFill>
                    <w14:schemeClr w14:val="tx1"/>
                  </w14:solidFill>
                </w14:textFill>
              </w:rPr>
            </w:pPr>
          </w:p>
          <w:p w14:paraId="6BC1B523">
            <w:pPr>
              <w:spacing w:line="440" w:lineRule="exact"/>
              <w:ind w:firstLine="1920" w:firstLineChars="800"/>
              <w:rPr>
                <w:color w:val="000000" w:themeColor="text1"/>
                <w:sz w:val="24"/>
                <w14:textFill>
                  <w14:solidFill>
                    <w14:schemeClr w14:val="tx1"/>
                  </w14:solidFill>
                </w14:textFill>
              </w:rPr>
            </w:pPr>
            <w:r>
              <w:rPr>
                <w:color w:val="000000" w:themeColor="text1"/>
                <w:sz w:val="24"/>
                <w14:textFill>
                  <w14:solidFill>
                    <w14:schemeClr w14:val="tx1"/>
                  </w14:solidFill>
                </w14:textFill>
              </w:rPr>
              <w:t>院（系、所）负责人签名（或印章）</w:t>
            </w:r>
          </w:p>
          <w:p w14:paraId="120D0039">
            <w:pPr>
              <w:spacing w:line="440" w:lineRule="exact"/>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                                                           年    月    日</w:t>
            </w:r>
          </w:p>
        </w:tc>
      </w:tr>
      <w:tr w14:paraId="69A1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4" w:hRule="atLeast"/>
          <w:jc w:val="center"/>
        </w:trPr>
        <w:tc>
          <w:tcPr>
            <w:tcW w:w="5000" w:type="pct"/>
            <w:gridSpan w:val="3"/>
            <w:tcBorders>
              <w:bottom w:val="single" w:color="auto" w:sz="4" w:space="0"/>
            </w:tcBorders>
          </w:tcPr>
          <w:p w14:paraId="147F4AF1">
            <w:pPr>
              <w:spacing w:line="440" w:lineRule="exact"/>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备注：</w:t>
            </w:r>
          </w:p>
        </w:tc>
      </w:tr>
    </w:tbl>
    <w:p w14:paraId="5DE4312E">
      <w:pPr>
        <w:rPr>
          <w:rFonts w:hint="eastAsia"/>
          <w:color w:val="000000" w:themeColor="text1"/>
          <w14:textFill>
            <w14:solidFill>
              <w14:schemeClr w14:val="tx1"/>
            </w14:solidFill>
          </w14:textFill>
        </w:rPr>
      </w:pPr>
    </w:p>
    <w:sectPr>
      <w:footerReference r:id="rId3" w:type="default"/>
      <w:pgSz w:w="11906" w:h="16838"/>
      <w:pgMar w:top="1134" w:right="1134" w:bottom="1134" w:left="1134"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方正小标宋简体">
    <w:altName w:val="微软雅黑"/>
    <w:panose1 w:val="020B0604020202020204"/>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19F"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FC9AF">
    <w:pPr>
      <w:pStyle w:val="7"/>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2</w:t>
    </w:r>
    <w:r>
      <w:rPr>
        <w:rStyle w:val="15"/>
      </w:rPr>
      <w:fldChar w:fldCharType="end"/>
    </w:r>
  </w:p>
  <w:p w14:paraId="60032E72">
    <w:pPr>
      <w:pStyle w:val="7"/>
      <w:ind w:right="360" w:firstLine="360"/>
    </w:pPr>
    <w:r>
      <w:rPr>
        <w:rFonts w:hint="eastAsia"/>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21D1D3"/>
    <w:multiLevelType w:val="singleLevel"/>
    <w:tmpl w:val="A221D1D3"/>
    <w:lvl w:ilvl="0" w:tentative="0">
      <w:start w:val="1"/>
      <w:numFmt w:val="chineseCounting"/>
      <w:suff w:val="nothing"/>
      <w:lvlText w:val="%1、"/>
      <w:lvlJc w:val="left"/>
      <w:rPr>
        <w:rFonts w:hint="eastAsia"/>
      </w:rPr>
    </w:lvl>
  </w:abstractNum>
  <w:abstractNum w:abstractNumId="1">
    <w:nsid w:val="F29D87EC"/>
    <w:multiLevelType w:val="singleLevel"/>
    <w:tmpl w:val="F29D87EC"/>
    <w:lvl w:ilvl="0" w:tentative="0">
      <w:start w:val="2"/>
      <w:numFmt w:val="chineseCounting"/>
      <w:suff w:val="nothing"/>
      <w:lvlText w:val="%1、"/>
      <w:lvlJc w:val="left"/>
      <w:rPr>
        <w:rFonts w:hint="eastAsia"/>
      </w:rPr>
    </w:lvl>
  </w:abstractNum>
  <w:abstractNum w:abstractNumId="2">
    <w:nsid w:val="058F66C7"/>
    <w:multiLevelType w:val="multilevel"/>
    <w:tmpl w:val="058F66C7"/>
    <w:lvl w:ilvl="0" w:tentative="0">
      <w:start w:val="3"/>
      <w:numFmt w:val="decimal"/>
      <w:lvlText w:val="%1"/>
      <w:lvlJc w:val="left"/>
      <w:pPr>
        <w:ind w:left="360" w:hanging="360"/>
      </w:pPr>
      <w:rPr>
        <w:rFonts w:hint="default"/>
      </w:rPr>
    </w:lvl>
    <w:lvl w:ilvl="1" w:tentative="0">
      <w:start w:val="3"/>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1433BB45"/>
    <w:multiLevelType w:val="singleLevel"/>
    <w:tmpl w:val="1433BB45"/>
    <w:lvl w:ilvl="0" w:tentative="0">
      <w:start w:val="1"/>
      <w:numFmt w:val="decimal"/>
      <w:lvlText w:val="[%1]"/>
      <w:lvlJc w:val="left"/>
      <w:pPr>
        <w:tabs>
          <w:tab w:val="left" w:pos="420"/>
        </w:tabs>
        <w:ind w:left="425" w:hanging="425"/>
      </w:pPr>
      <w:rPr>
        <w:rFonts w:hint="default"/>
      </w:rPr>
    </w:lvl>
  </w:abstractNum>
  <w:abstractNum w:abstractNumId="4">
    <w:nsid w:val="3A5632B3"/>
    <w:multiLevelType w:val="multilevel"/>
    <w:tmpl w:val="3A5632B3"/>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42D81BEB"/>
    <w:multiLevelType w:val="multilevel"/>
    <w:tmpl w:val="42D81BEB"/>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59E15AB6"/>
    <w:multiLevelType w:val="multilevel"/>
    <w:tmpl w:val="59E15AB6"/>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9FD3E7D"/>
    <w:multiLevelType w:val="multilevel"/>
    <w:tmpl w:val="79FD3E7D"/>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4"/>
  </w:num>
  <w:num w:numId="2">
    <w:abstractNumId w:val="0"/>
  </w:num>
  <w:num w:numId="3">
    <w:abstractNumId w:val="1"/>
  </w:num>
  <w:num w:numId="4">
    <w:abstractNumId w:val="3"/>
  </w:num>
  <w:num w:numId="5">
    <w:abstractNumId w:val="7"/>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I1MmVmYzljZGU5NDQ0NTYwMTZmZjE5OWIxZjM1YTEifQ=="/>
  </w:docVars>
  <w:rsids>
    <w:rsidRoot w:val="00087728"/>
    <w:rsid w:val="0000250F"/>
    <w:rsid w:val="00007045"/>
    <w:rsid w:val="00023226"/>
    <w:rsid w:val="0002402D"/>
    <w:rsid w:val="000326EC"/>
    <w:rsid w:val="00042511"/>
    <w:rsid w:val="00063BD7"/>
    <w:rsid w:val="00087728"/>
    <w:rsid w:val="000A3A3A"/>
    <w:rsid w:val="000C259B"/>
    <w:rsid w:val="000C25A3"/>
    <w:rsid w:val="00126DFC"/>
    <w:rsid w:val="00177D7E"/>
    <w:rsid w:val="00195104"/>
    <w:rsid w:val="00195769"/>
    <w:rsid w:val="001C473A"/>
    <w:rsid w:val="00225383"/>
    <w:rsid w:val="00236874"/>
    <w:rsid w:val="002457D3"/>
    <w:rsid w:val="00256702"/>
    <w:rsid w:val="002603CD"/>
    <w:rsid w:val="002672E4"/>
    <w:rsid w:val="002A6753"/>
    <w:rsid w:val="002F10C5"/>
    <w:rsid w:val="00321C54"/>
    <w:rsid w:val="00343477"/>
    <w:rsid w:val="00350D73"/>
    <w:rsid w:val="00377354"/>
    <w:rsid w:val="003814EE"/>
    <w:rsid w:val="00392415"/>
    <w:rsid w:val="003A331C"/>
    <w:rsid w:val="003D23BF"/>
    <w:rsid w:val="00411EA3"/>
    <w:rsid w:val="004255C9"/>
    <w:rsid w:val="00432010"/>
    <w:rsid w:val="00445476"/>
    <w:rsid w:val="00450C87"/>
    <w:rsid w:val="00464079"/>
    <w:rsid w:val="004A3A0E"/>
    <w:rsid w:val="004B012C"/>
    <w:rsid w:val="004C0A71"/>
    <w:rsid w:val="004E1E44"/>
    <w:rsid w:val="00507253"/>
    <w:rsid w:val="00510FCE"/>
    <w:rsid w:val="0053086C"/>
    <w:rsid w:val="005343BE"/>
    <w:rsid w:val="0056224F"/>
    <w:rsid w:val="005660E5"/>
    <w:rsid w:val="005A03E3"/>
    <w:rsid w:val="005A77B3"/>
    <w:rsid w:val="005B3848"/>
    <w:rsid w:val="005E07B4"/>
    <w:rsid w:val="005E2F38"/>
    <w:rsid w:val="005E5DD9"/>
    <w:rsid w:val="005F70FA"/>
    <w:rsid w:val="006124AD"/>
    <w:rsid w:val="006132A1"/>
    <w:rsid w:val="0062392F"/>
    <w:rsid w:val="0062572A"/>
    <w:rsid w:val="00625AF9"/>
    <w:rsid w:val="00646515"/>
    <w:rsid w:val="006740B7"/>
    <w:rsid w:val="00695879"/>
    <w:rsid w:val="00695A18"/>
    <w:rsid w:val="006A0358"/>
    <w:rsid w:val="006A06D3"/>
    <w:rsid w:val="006E67A9"/>
    <w:rsid w:val="00783707"/>
    <w:rsid w:val="00791744"/>
    <w:rsid w:val="007B5F97"/>
    <w:rsid w:val="007C6182"/>
    <w:rsid w:val="007C7EC0"/>
    <w:rsid w:val="007D3974"/>
    <w:rsid w:val="007D625E"/>
    <w:rsid w:val="007F30B4"/>
    <w:rsid w:val="007F5F5A"/>
    <w:rsid w:val="00804054"/>
    <w:rsid w:val="0081342F"/>
    <w:rsid w:val="00824C22"/>
    <w:rsid w:val="00832BBB"/>
    <w:rsid w:val="00851108"/>
    <w:rsid w:val="00890EF2"/>
    <w:rsid w:val="00891A3C"/>
    <w:rsid w:val="00896DDB"/>
    <w:rsid w:val="008B1B75"/>
    <w:rsid w:val="008B68DF"/>
    <w:rsid w:val="008D3438"/>
    <w:rsid w:val="008E69B7"/>
    <w:rsid w:val="0091108C"/>
    <w:rsid w:val="009125CE"/>
    <w:rsid w:val="00914FC6"/>
    <w:rsid w:val="00923FE9"/>
    <w:rsid w:val="009266BB"/>
    <w:rsid w:val="00954078"/>
    <w:rsid w:val="00956B32"/>
    <w:rsid w:val="009746D7"/>
    <w:rsid w:val="00975807"/>
    <w:rsid w:val="00994146"/>
    <w:rsid w:val="0099600D"/>
    <w:rsid w:val="009C4892"/>
    <w:rsid w:val="009D1778"/>
    <w:rsid w:val="009E6069"/>
    <w:rsid w:val="009F18DE"/>
    <w:rsid w:val="009F4E52"/>
    <w:rsid w:val="00A25FE4"/>
    <w:rsid w:val="00A341CC"/>
    <w:rsid w:val="00A46A78"/>
    <w:rsid w:val="00A51EA6"/>
    <w:rsid w:val="00A62F6F"/>
    <w:rsid w:val="00A6384F"/>
    <w:rsid w:val="00A63EC4"/>
    <w:rsid w:val="00A63FA4"/>
    <w:rsid w:val="00A82C29"/>
    <w:rsid w:val="00AB2D6E"/>
    <w:rsid w:val="00AB4840"/>
    <w:rsid w:val="00AB718C"/>
    <w:rsid w:val="00AC67DD"/>
    <w:rsid w:val="00AF09C5"/>
    <w:rsid w:val="00B055D9"/>
    <w:rsid w:val="00B05A86"/>
    <w:rsid w:val="00B07847"/>
    <w:rsid w:val="00B45621"/>
    <w:rsid w:val="00B60E66"/>
    <w:rsid w:val="00B745E3"/>
    <w:rsid w:val="00B76B2C"/>
    <w:rsid w:val="00BA6A08"/>
    <w:rsid w:val="00BB4279"/>
    <w:rsid w:val="00BC4C29"/>
    <w:rsid w:val="00BC5C6D"/>
    <w:rsid w:val="00BD437A"/>
    <w:rsid w:val="00BE5C3D"/>
    <w:rsid w:val="00BE7554"/>
    <w:rsid w:val="00BF03D4"/>
    <w:rsid w:val="00BF260E"/>
    <w:rsid w:val="00BF7F31"/>
    <w:rsid w:val="00C278DD"/>
    <w:rsid w:val="00C43FB2"/>
    <w:rsid w:val="00CB007E"/>
    <w:rsid w:val="00CB4C4F"/>
    <w:rsid w:val="00CB5E9D"/>
    <w:rsid w:val="00CC7C74"/>
    <w:rsid w:val="00CD15B4"/>
    <w:rsid w:val="00CE4C3C"/>
    <w:rsid w:val="00CF1370"/>
    <w:rsid w:val="00CF2BFF"/>
    <w:rsid w:val="00D12AC8"/>
    <w:rsid w:val="00D33F9E"/>
    <w:rsid w:val="00D53A03"/>
    <w:rsid w:val="00D623D0"/>
    <w:rsid w:val="00D80352"/>
    <w:rsid w:val="00DA5D81"/>
    <w:rsid w:val="00DD2C69"/>
    <w:rsid w:val="00DD3FE9"/>
    <w:rsid w:val="00E0348C"/>
    <w:rsid w:val="00E10514"/>
    <w:rsid w:val="00E129CB"/>
    <w:rsid w:val="00E1421A"/>
    <w:rsid w:val="00E33F16"/>
    <w:rsid w:val="00E36DF1"/>
    <w:rsid w:val="00E55CB0"/>
    <w:rsid w:val="00E63EEE"/>
    <w:rsid w:val="00E7009D"/>
    <w:rsid w:val="00EB57A1"/>
    <w:rsid w:val="00EF2915"/>
    <w:rsid w:val="00F01E4E"/>
    <w:rsid w:val="00F1055A"/>
    <w:rsid w:val="00F25EFC"/>
    <w:rsid w:val="00F36F56"/>
    <w:rsid w:val="00F530D0"/>
    <w:rsid w:val="00F56686"/>
    <w:rsid w:val="00F60187"/>
    <w:rsid w:val="00F90231"/>
    <w:rsid w:val="00F902FA"/>
    <w:rsid w:val="00FA4987"/>
    <w:rsid w:val="00FA5DE1"/>
    <w:rsid w:val="00FB37C9"/>
    <w:rsid w:val="00FD105E"/>
    <w:rsid w:val="00FF7DF2"/>
    <w:rsid w:val="01CF4AC6"/>
    <w:rsid w:val="02074C75"/>
    <w:rsid w:val="024F0911"/>
    <w:rsid w:val="039152F4"/>
    <w:rsid w:val="043F3A53"/>
    <w:rsid w:val="046A649D"/>
    <w:rsid w:val="04900210"/>
    <w:rsid w:val="05DD4671"/>
    <w:rsid w:val="06021A19"/>
    <w:rsid w:val="06313925"/>
    <w:rsid w:val="06E76748"/>
    <w:rsid w:val="071F2A3E"/>
    <w:rsid w:val="074F0A98"/>
    <w:rsid w:val="07511A9D"/>
    <w:rsid w:val="076012A9"/>
    <w:rsid w:val="07C86BDA"/>
    <w:rsid w:val="08055CAB"/>
    <w:rsid w:val="086C7EC8"/>
    <w:rsid w:val="087B46E2"/>
    <w:rsid w:val="08952123"/>
    <w:rsid w:val="08A75568"/>
    <w:rsid w:val="08F314F6"/>
    <w:rsid w:val="093460C3"/>
    <w:rsid w:val="097514E0"/>
    <w:rsid w:val="0A185285"/>
    <w:rsid w:val="0A950CD5"/>
    <w:rsid w:val="0AA22011"/>
    <w:rsid w:val="0AF26D2D"/>
    <w:rsid w:val="0B1D3DBA"/>
    <w:rsid w:val="0B3809D5"/>
    <w:rsid w:val="0B5B0384"/>
    <w:rsid w:val="0BBD7C8E"/>
    <w:rsid w:val="0BC301D9"/>
    <w:rsid w:val="0C2F3D11"/>
    <w:rsid w:val="0CEA12C0"/>
    <w:rsid w:val="0CEC69C1"/>
    <w:rsid w:val="0D842ED9"/>
    <w:rsid w:val="0D870CD3"/>
    <w:rsid w:val="0D984A85"/>
    <w:rsid w:val="0DDA546A"/>
    <w:rsid w:val="0E1432CF"/>
    <w:rsid w:val="0E4737DB"/>
    <w:rsid w:val="0E5D23AF"/>
    <w:rsid w:val="0EB577E3"/>
    <w:rsid w:val="0EF94EDA"/>
    <w:rsid w:val="0F3A0931"/>
    <w:rsid w:val="0F812B3C"/>
    <w:rsid w:val="0F9B0B28"/>
    <w:rsid w:val="0F9B3684"/>
    <w:rsid w:val="0FC41C88"/>
    <w:rsid w:val="0FF67080"/>
    <w:rsid w:val="10285F85"/>
    <w:rsid w:val="105E4EB9"/>
    <w:rsid w:val="112C778A"/>
    <w:rsid w:val="114125A2"/>
    <w:rsid w:val="117E1339"/>
    <w:rsid w:val="12015675"/>
    <w:rsid w:val="12BA0DA6"/>
    <w:rsid w:val="12EC26FA"/>
    <w:rsid w:val="12EF6AB8"/>
    <w:rsid w:val="13D473D3"/>
    <w:rsid w:val="13E74BB5"/>
    <w:rsid w:val="142A78B4"/>
    <w:rsid w:val="147D226B"/>
    <w:rsid w:val="14BB5C6A"/>
    <w:rsid w:val="158F3452"/>
    <w:rsid w:val="16005926"/>
    <w:rsid w:val="163559AE"/>
    <w:rsid w:val="16A40CB1"/>
    <w:rsid w:val="16CD1369"/>
    <w:rsid w:val="16E257E2"/>
    <w:rsid w:val="17122D53"/>
    <w:rsid w:val="17B33B8E"/>
    <w:rsid w:val="18757B94"/>
    <w:rsid w:val="188646CA"/>
    <w:rsid w:val="18935DFD"/>
    <w:rsid w:val="18E93467"/>
    <w:rsid w:val="190B2F0F"/>
    <w:rsid w:val="194B570C"/>
    <w:rsid w:val="1B140C1B"/>
    <w:rsid w:val="1B4B260A"/>
    <w:rsid w:val="1B5022AF"/>
    <w:rsid w:val="1B631856"/>
    <w:rsid w:val="1B6D0E3C"/>
    <w:rsid w:val="1B706784"/>
    <w:rsid w:val="1BC04531"/>
    <w:rsid w:val="1C827216"/>
    <w:rsid w:val="1D0C4742"/>
    <w:rsid w:val="1D6C71D1"/>
    <w:rsid w:val="1D8D1F09"/>
    <w:rsid w:val="1DF418B8"/>
    <w:rsid w:val="1E32548B"/>
    <w:rsid w:val="1EA57152"/>
    <w:rsid w:val="1FB1755A"/>
    <w:rsid w:val="206453E7"/>
    <w:rsid w:val="20871918"/>
    <w:rsid w:val="20F70FA7"/>
    <w:rsid w:val="21171155"/>
    <w:rsid w:val="213252EF"/>
    <w:rsid w:val="217B46FD"/>
    <w:rsid w:val="21941F7E"/>
    <w:rsid w:val="21AA5C19"/>
    <w:rsid w:val="21C07294"/>
    <w:rsid w:val="227D015C"/>
    <w:rsid w:val="22E36C68"/>
    <w:rsid w:val="22F538D8"/>
    <w:rsid w:val="23014532"/>
    <w:rsid w:val="236B39C8"/>
    <w:rsid w:val="239D5436"/>
    <w:rsid w:val="240371E6"/>
    <w:rsid w:val="244B7B9C"/>
    <w:rsid w:val="24FF6042"/>
    <w:rsid w:val="26B57B31"/>
    <w:rsid w:val="27860B57"/>
    <w:rsid w:val="27B25C5D"/>
    <w:rsid w:val="27BF2AC6"/>
    <w:rsid w:val="28411A4B"/>
    <w:rsid w:val="284655CC"/>
    <w:rsid w:val="28A9626C"/>
    <w:rsid w:val="28E26223"/>
    <w:rsid w:val="290533DE"/>
    <w:rsid w:val="293A1937"/>
    <w:rsid w:val="295A26F1"/>
    <w:rsid w:val="299407E6"/>
    <w:rsid w:val="29B1385E"/>
    <w:rsid w:val="2A3C3C29"/>
    <w:rsid w:val="2AF73E4C"/>
    <w:rsid w:val="2B2B7C3F"/>
    <w:rsid w:val="2B7703DB"/>
    <w:rsid w:val="2BE0664F"/>
    <w:rsid w:val="2C285E10"/>
    <w:rsid w:val="2C582929"/>
    <w:rsid w:val="2CAB4F54"/>
    <w:rsid w:val="2CAC4444"/>
    <w:rsid w:val="2D321B13"/>
    <w:rsid w:val="2E7D5100"/>
    <w:rsid w:val="2E921034"/>
    <w:rsid w:val="2EDC05D9"/>
    <w:rsid w:val="2FCB3D59"/>
    <w:rsid w:val="30742E3D"/>
    <w:rsid w:val="30777560"/>
    <w:rsid w:val="308717B0"/>
    <w:rsid w:val="30872AC8"/>
    <w:rsid w:val="30A37D71"/>
    <w:rsid w:val="30AA79E3"/>
    <w:rsid w:val="310E10C8"/>
    <w:rsid w:val="331274AE"/>
    <w:rsid w:val="33127D77"/>
    <w:rsid w:val="3347727A"/>
    <w:rsid w:val="34923EBA"/>
    <w:rsid w:val="34CD184C"/>
    <w:rsid w:val="3547171F"/>
    <w:rsid w:val="356942D3"/>
    <w:rsid w:val="36125264"/>
    <w:rsid w:val="36E4109C"/>
    <w:rsid w:val="37DE3EDF"/>
    <w:rsid w:val="38313B72"/>
    <w:rsid w:val="38904ABC"/>
    <w:rsid w:val="38D009DF"/>
    <w:rsid w:val="38D267FA"/>
    <w:rsid w:val="38E7059D"/>
    <w:rsid w:val="38F449AF"/>
    <w:rsid w:val="38F957FD"/>
    <w:rsid w:val="39484375"/>
    <w:rsid w:val="398114C3"/>
    <w:rsid w:val="39A10672"/>
    <w:rsid w:val="39F276A6"/>
    <w:rsid w:val="3A7D7F6D"/>
    <w:rsid w:val="3A97195A"/>
    <w:rsid w:val="3B204199"/>
    <w:rsid w:val="3B927BA0"/>
    <w:rsid w:val="3BB47E47"/>
    <w:rsid w:val="3C1D7E9C"/>
    <w:rsid w:val="3C27633E"/>
    <w:rsid w:val="3C8E18AF"/>
    <w:rsid w:val="3D3567B9"/>
    <w:rsid w:val="3D6D161F"/>
    <w:rsid w:val="3E2A0056"/>
    <w:rsid w:val="3E4E1BC0"/>
    <w:rsid w:val="3E8338F9"/>
    <w:rsid w:val="3F0E5933"/>
    <w:rsid w:val="3F124665"/>
    <w:rsid w:val="3F653919"/>
    <w:rsid w:val="400B4D35"/>
    <w:rsid w:val="400E2379"/>
    <w:rsid w:val="4028033B"/>
    <w:rsid w:val="402F21B5"/>
    <w:rsid w:val="4078095A"/>
    <w:rsid w:val="40866112"/>
    <w:rsid w:val="40D06849"/>
    <w:rsid w:val="410A7F21"/>
    <w:rsid w:val="4186530E"/>
    <w:rsid w:val="41E52780"/>
    <w:rsid w:val="429E03DC"/>
    <w:rsid w:val="42C6203C"/>
    <w:rsid w:val="43C72DDC"/>
    <w:rsid w:val="43C811E7"/>
    <w:rsid w:val="43DC51FA"/>
    <w:rsid w:val="44C33240"/>
    <w:rsid w:val="451956A4"/>
    <w:rsid w:val="453F1A8A"/>
    <w:rsid w:val="456C404C"/>
    <w:rsid w:val="45D61B06"/>
    <w:rsid w:val="465B7B5F"/>
    <w:rsid w:val="465E7A7F"/>
    <w:rsid w:val="46A738C8"/>
    <w:rsid w:val="46B34F8B"/>
    <w:rsid w:val="471E1E95"/>
    <w:rsid w:val="474F1FE6"/>
    <w:rsid w:val="47A31E36"/>
    <w:rsid w:val="48B40709"/>
    <w:rsid w:val="490B39AE"/>
    <w:rsid w:val="491906C2"/>
    <w:rsid w:val="491E2A22"/>
    <w:rsid w:val="493F7694"/>
    <w:rsid w:val="49573932"/>
    <w:rsid w:val="49701584"/>
    <w:rsid w:val="49A34DCE"/>
    <w:rsid w:val="4A704A61"/>
    <w:rsid w:val="4AB16BB4"/>
    <w:rsid w:val="4ABB2762"/>
    <w:rsid w:val="4AC85FE3"/>
    <w:rsid w:val="4BD32069"/>
    <w:rsid w:val="4C666572"/>
    <w:rsid w:val="4C6B5859"/>
    <w:rsid w:val="4C750FE3"/>
    <w:rsid w:val="4CCD0BBF"/>
    <w:rsid w:val="4D44733D"/>
    <w:rsid w:val="4D4B55A6"/>
    <w:rsid w:val="4DF542F3"/>
    <w:rsid w:val="4DFF4A01"/>
    <w:rsid w:val="4E0F2354"/>
    <w:rsid w:val="4FAA1AD3"/>
    <w:rsid w:val="502039BE"/>
    <w:rsid w:val="502A5FF5"/>
    <w:rsid w:val="50902E7D"/>
    <w:rsid w:val="52587EDB"/>
    <w:rsid w:val="52AB7845"/>
    <w:rsid w:val="52DD7384"/>
    <w:rsid w:val="531F3F1C"/>
    <w:rsid w:val="538243AD"/>
    <w:rsid w:val="539300CC"/>
    <w:rsid w:val="53AE5B81"/>
    <w:rsid w:val="53BF7267"/>
    <w:rsid w:val="53EC12B2"/>
    <w:rsid w:val="549F5EEC"/>
    <w:rsid w:val="54A23167"/>
    <w:rsid w:val="54AA4895"/>
    <w:rsid w:val="54DA3A8F"/>
    <w:rsid w:val="554219EC"/>
    <w:rsid w:val="557831F8"/>
    <w:rsid w:val="5581129C"/>
    <w:rsid w:val="5605038D"/>
    <w:rsid w:val="56436FE9"/>
    <w:rsid w:val="56E21819"/>
    <w:rsid w:val="570C71A6"/>
    <w:rsid w:val="57BD2888"/>
    <w:rsid w:val="57BF408A"/>
    <w:rsid w:val="581B4FE4"/>
    <w:rsid w:val="5862288E"/>
    <w:rsid w:val="58A40196"/>
    <w:rsid w:val="58E42460"/>
    <w:rsid w:val="58FE5F8F"/>
    <w:rsid w:val="59234B1F"/>
    <w:rsid w:val="59464082"/>
    <w:rsid w:val="594A4899"/>
    <w:rsid w:val="595B5445"/>
    <w:rsid w:val="596A5132"/>
    <w:rsid w:val="59E36E2E"/>
    <w:rsid w:val="59E6331A"/>
    <w:rsid w:val="59EF670E"/>
    <w:rsid w:val="5A557958"/>
    <w:rsid w:val="5A9552DA"/>
    <w:rsid w:val="5ADD2C4A"/>
    <w:rsid w:val="5B5A5DEF"/>
    <w:rsid w:val="5C3C1A2A"/>
    <w:rsid w:val="5C3C5E9B"/>
    <w:rsid w:val="5C4B5563"/>
    <w:rsid w:val="5CE927F2"/>
    <w:rsid w:val="5D1A3BB0"/>
    <w:rsid w:val="5D810FF7"/>
    <w:rsid w:val="5DEE162B"/>
    <w:rsid w:val="5E0B1125"/>
    <w:rsid w:val="5E2F4D57"/>
    <w:rsid w:val="5E3D4A4C"/>
    <w:rsid w:val="5ECA5FE2"/>
    <w:rsid w:val="5F1D634F"/>
    <w:rsid w:val="5F2003BF"/>
    <w:rsid w:val="5F706F49"/>
    <w:rsid w:val="5F7F0ABD"/>
    <w:rsid w:val="5F954A02"/>
    <w:rsid w:val="5F9A4160"/>
    <w:rsid w:val="5FC47F2C"/>
    <w:rsid w:val="5FFB4B3F"/>
    <w:rsid w:val="605F6415"/>
    <w:rsid w:val="6093451F"/>
    <w:rsid w:val="614735CE"/>
    <w:rsid w:val="61C07D59"/>
    <w:rsid w:val="61C22F65"/>
    <w:rsid w:val="61D30F93"/>
    <w:rsid w:val="62525FDC"/>
    <w:rsid w:val="62556337"/>
    <w:rsid w:val="62994FD8"/>
    <w:rsid w:val="63300D31"/>
    <w:rsid w:val="63CA5998"/>
    <w:rsid w:val="641F004E"/>
    <w:rsid w:val="642F55CB"/>
    <w:rsid w:val="65230D39"/>
    <w:rsid w:val="65341442"/>
    <w:rsid w:val="655579E1"/>
    <w:rsid w:val="65B65BCD"/>
    <w:rsid w:val="65FA25DA"/>
    <w:rsid w:val="662E111E"/>
    <w:rsid w:val="66475820"/>
    <w:rsid w:val="667E026B"/>
    <w:rsid w:val="66C4388D"/>
    <w:rsid w:val="66D205AB"/>
    <w:rsid w:val="673A6416"/>
    <w:rsid w:val="68A7179C"/>
    <w:rsid w:val="69BE4C56"/>
    <w:rsid w:val="69EA7777"/>
    <w:rsid w:val="6A3817AB"/>
    <w:rsid w:val="6A7711BA"/>
    <w:rsid w:val="6B7705A1"/>
    <w:rsid w:val="6BA718AC"/>
    <w:rsid w:val="6BAB02B2"/>
    <w:rsid w:val="6C080F47"/>
    <w:rsid w:val="6CEC604E"/>
    <w:rsid w:val="6D6079A2"/>
    <w:rsid w:val="6D6249EE"/>
    <w:rsid w:val="6DD642C4"/>
    <w:rsid w:val="6ED509A7"/>
    <w:rsid w:val="6ED55631"/>
    <w:rsid w:val="6F00230B"/>
    <w:rsid w:val="6F3964FE"/>
    <w:rsid w:val="6F6B646E"/>
    <w:rsid w:val="6FF055CD"/>
    <w:rsid w:val="6FF708A5"/>
    <w:rsid w:val="704A2969"/>
    <w:rsid w:val="70653FE0"/>
    <w:rsid w:val="712C34E1"/>
    <w:rsid w:val="71A03995"/>
    <w:rsid w:val="71A654D6"/>
    <w:rsid w:val="71F1492E"/>
    <w:rsid w:val="724C4CED"/>
    <w:rsid w:val="72A20D33"/>
    <w:rsid w:val="733E202B"/>
    <w:rsid w:val="73817C22"/>
    <w:rsid w:val="739A7B6E"/>
    <w:rsid w:val="74A67EE4"/>
    <w:rsid w:val="74AD0280"/>
    <w:rsid w:val="75336EBE"/>
    <w:rsid w:val="754040AE"/>
    <w:rsid w:val="75632B54"/>
    <w:rsid w:val="756A3232"/>
    <w:rsid w:val="7573101A"/>
    <w:rsid w:val="759507E6"/>
    <w:rsid w:val="75B21A9F"/>
    <w:rsid w:val="75BA6D25"/>
    <w:rsid w:val="75E17719"/>
    <w:rsid w:val="7613263D"/>
    <w:rsid w:val="77374FE7"/>
    <w:rsid w:val="77C6261E"/>
    <w:rsid w:val="790D7A37"/>
    <w:rsid w:val="79810245"/>
    <w:rsid w:val="7A43089A"/>
    <w:rsid w:val="7AB30815"/>
    <w:rsid w:val="7AB57DBA"/>
    <w:rsid w:val="7AC32804"/>
    <w:rsid w:val="7B7064FA"/>
    <w:rsid w:val="7B8472F7"/>
    <w:rsid w:val="7C4828CC"/>
    <w:rsid w:val="7C562075"/>
    <w:rsid w:val="7C773348"/>
    <w:rsid w:val="7CA902CA"/>
    <w:rsid w:val="7CC33357"/>
    <w:rsid w:val="7CE10993"/>
    <w:rsid w:val="7CE91C3C"/>
    <w:rsid w:val="7CFB10AD"/>
    <w:rsid w:val="7D5B3637"/>
    <w:rsid w:val="7DE944FB"/>
    <w:rsid w:val="7E0A29DC"/>
    <w:rsid w:val="7E636BD4"/>
    <w:rsid w:val="7E8023F8"/>
    <w:rsid w:val="7EA271D1"/>
    <w:rsid w:val="7EC61B1C"/>
    <w:rsid w:val="7EDE62F4"/>
    <w:rsid w:val="7EE65B0B"/>
    <w:rsid w:val="7F4642E4"/>
    <w:rsid w:val="7F761B63"/>
    <w:rsid w:val="7FAD0087"/>
    <w:rsid w:val="7FCE0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4"/>
    <w:basedOn w:val="1"/>
    <w:next w:val="1"/>
    <w:unhideWhenUsed/>
    <w:qFormat/>
    <w:uiPriority w:val="0"/>
    <w:pPr>
      <w:spacing w:before="100" w:beforeAutospacing="1" w:after="100" w:afterAutospacing="1"/>
      <w:jc w:val="left"/>
      <w:outlineLvl w:val="3"/>
    </w:pPr>
    <w:rPr>
      <w:rFonts w:hint="eastAsia" w:ascii="宋体" w:hAnsi="宋体"/>
      <w:b/>
      <w:bCs/>
      <w:kern w:val="0"/>
      <w:sz w:val="24"/>
    </w:rPr>
  </w:style>
  <w:style w:type="character" w:default="1" w:styleId="13">
    <w:name w:val="Default Paragraph Font"/>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9"/>
    <w:qFormat/>
    <w:uiPriority w:val="0"/>
    <w:pPr>
      <w:jc w:val="left"/>
    </w:pPr>
  </w:style>
  <w:style w:type="paragraph" w:styleId="5">
    <w:name w:val="Body Text"/>
    <w:basedOn w:val="1"/>
    <w:qFormat/>
    <w:uiPriority w:val="0"/>
    <w:pPr>
      <w:spacing w:line="400" w:lineRule="exact"/>
      <w:jc w:val="center"/>
    </w:pPr>
    <w:rPr>
      <w:rFonts w:ascii="宋体"/>
      <w:sz w:val="24"/>
    </w:rPr>
  </w:style>
  <w:style w:type="paragraph" w:styleId="6">
    <w:name w:val="Balloon Text"/>
    <w:basedOn w:val="1"/>
    <w:link w:val="20"/>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20"/>
    </w:rPr>
  </w:style>
  <w:style w:type="paragraph" w:styleId="8">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99"/>
    <w:pPr>
      <w:spacing w:before="100" w:beforeAutospacing="1" w:after="100" w:afterAutospacing="1"/>
      <w:jc w:val="left"/>
    </w:pPr>
    <w:rPr>
      <w:kern w:val="0"/>
      <w:sz w:val="24"/>
    </w:rPr>
  </w:style>
  <w:style w:type="paragraph" w:styleId="10">
    <w:name w:val="annotation subject"/>
    <w:basedOn w:val="4"/>
    <w:next w:val="4"/>
    <w:link w:val="22"/>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rPr>
  </w:style>
  <w:style w:type="character" w:styleId="15">
    <w:name w:val="page number"/>
    <w:basedOn w:val="13"/>
    <w:qFormat/>
    <w:uiPriority w:val="0"/>
  </w:style>
  <w:style w:type="character" w:styleId="16">
    <w:name w:val="Hyperlink"/>
    <w:qFormat/>
    <w:uiPriority w:val="0"/>
    <w:rPr>
      <w:color w:val="0000FF"/>
      <w:u w:val="single"/>
    </w:rPr>
  </w:style>
  <w:style w:type="character" w:styleId="17">
    <w:name w:val="HTML Code"/>
    <w:basedOn w:val="13"/>
    <w:qFormat/>
    <w:uiPriority w:val="0"/>
    <w:rPr>
      <w:rFonts w:ascii="Courier New" w:hAnsi="Courier New"/>
      <w:sz w:val="20"/>
    </w:rPr>
  </w:style>
  <w:style w:type="character" w:styleId="18">
    <w:name w:val="annotation reference"/>
    <w:qFormat/>
    <w:uiPriority w:val="0"/>
    <w:rPr>
      <w:sz w:val="21"/>
      <w:szCs w:val="21"/>
    </w:rPr>
  </w:style>
  <w:style w:type="character" w:customStyle="1" w:styleId="19">
    <w:name w:val="批注文字 字符"/>
    <w:link w:val="4"/>
    <w:qFormat/>
    <w:uiPriority w:val="0"/>
    <w:rPr>
      <w:kern w:val="2"/>
      <w:sz w:val="21"/>
      <w:szCs w:val="24"/>
    </w:rPr>
  </w:style>
  <w:style w:type="character" w:customStyle="1" w:styleId="20">
    <w:name w:val="批注框文本 字符"/>
    <w:link w:val="6"/>
    <w:qFormat/>
    <w:uiPriority w:val="0"/>
    <w:rPr>
      <w:kern w:val="2"/>
      <w:sz w:val="18"/>
      <w:szCs w:val="18"/>
    </w:rPr>
  </w:style>
  <w:style w:type="character" w:customStyle="1" w:styleId="21">
    <w:name w:val="页眉 字符"/>
    <w:link w:val="8"/>
    <w:qFormat/>
    <w:uiPriority w:val="0"/>
    <w:rPr>
      <w:kern w:val="2"/>
      <w:sz w:val="18"/>
      <w:szCs w:val="18"/>
    </w:rPr>
  </w:style>
  <w:style w:type="character" w:customStyle="1" w:styleId="22">
    <w:name w:val="批注主题 字符"/>
    <w:link w:val="10"/>
    <w:qFormat/>
    <w:uiPriority w:val="0"/>
    <w:rPr>
      <w:b/>
      <w:bCs/>
      <w:kern w:val="2"/>
      <w:sz w:val="21"/>
      <w:szCs w:val="24"/>
    </w:rPr>
  </w:style>
  <w:style w:type="character" w:styleId="23">
    <w:name w:val="Placeholder Text"/>
    <w:basedOn w:val="13"/>
    <w:unhideWhenUsed/>
    <w:qFormat/>
    <w:uiPriority w:val="99"/>
    <w:rPr>
      <w:color w:val="666666"/>
    </w:rPr>
  </w:style>
  <w:style w:type="paragraph" w:styleId="2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abc</Company>
  <Pages>37</Pages>
  <Words>20670</Words>
  <Characters>29359</Characters>
  <Lines>254</Lines>
  <Paragraphs>71</Paragraphs>
  <TotalTime>193</TotalTime>
  <ScaleCrop>false</ScaleCrop>
  <LinksUpToDate>false</LinksUpToDate>
  <CharactersWithSpaces>30880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2026-04-25T10:08:00Z</dcterms:created>
  <dc:creator>曹蕾</dc:creator>
  <cp:lastModifiedBy>杨冰点</cp:lastModifiedBy>
  <cp:lastPrinted>2026-04-27T03:12:00Z</cp:lastPrinted>
  <dcterms:modified xsi:type="dcterms:W3CDTF">2026-09-29T01:47:38Z</dcterms:modified>
  <dc:title>学号：</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45D38D86034C49B3B1056E6549B8004B_13</vt:lpwstr>
  </property>
  <property fmtid="{D5CDD505-2E9C-101B-9397-08002B2CF9AE}" pid="4" name="KSOTemplateDocerSaveRecord">
    <vt:lpwstr>eyJoZGlkIjoiYzE0MGM1MmU1MGFlYTE4M2E2ZDQzNDFlMjc4Y2U4MTgiLCJ1c2VySWQiOiIxNjM0NDE2NzcwIn0=</vt:lpwstr>
  </property>
</Properties>
</file>