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800" w:rsidRDefault="0052074C" w:rsidP="0052074C">
      <w:pPr>
        <w:pStyle w:val="Heading1"/>
      </w:pPr>
      <w:r>
        <w:t>Project</w:t>
      </w:r>
    </w:p>
    <w:p w:rsidR="00FC2E0B" w:rsidRDefault="00FC2E0B" w:rsidP="00FC2E0B">
      <w:pPr>
        <w:pStyle w:val="NoSpacing"/>
      </w:pPr>
      <w:r>
        <w:t xml:space="preserve">RSA and ECDH </w:t>
      </w:r>
      <w:r w:rsidRPr="00FC2E0B">
        <w:t>Key transport</w:t>
      </w:r>
      <w:r>
        <w:t xml:space="preserve"> and key Wrapping</w:t>
      </w:r>
    </w:p>
    <w:tbl>
      <w:tblPr>
        <w:tblW w:w="9540" w:type="dxa"/>
        <w:tblInd w:w="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340"/>
        <w:gridCol w:w="7200"/>
      </w:tblGrid>
      <w:tr w:rsidR="0052074C" w:rsidRPr="00FC2E0B" w:rsidTr="00FC2E0B">
        <w:trPr>
          <w:trHeight w:val="572"/>
        </w:trPr>
        <w:tc>
          <w:tcPr>
            <w:tcW w:w="2340" w:type="dxa"/>
            <w:tcBorders>
              <w:top w:val="single" w:sz="8" w:space="0" w:color="000000"/>
              <w:bottom w:val="single" w:sz="8" w:space="0" w:color="000000"/>
              <w:right w:val="single" w:sz="8" w:space="0" w:color="000000"/>
            </w:tcBorders>
            <w:shd w:val="clear" w:color="auto" w:fill="FFFFFF"/>
          </w:tcPr>
          <w:p w:rsidR="0052074C" w:rsidRPr="00FC2E0B" w:rsidRDefault="0052074C" w:rsidP="0052074C">
            <w:pPr>
              <w:pStyle w:val="NoSpacing"/>
            </w:pPr>
            <w:r w:rsidRPr="00FC2E0B">
              <w:t xml:space="preserve">Key agreement </w:t>
            </w:r>
          </w:p>
        </w:tc>
        <w:tc>
          <w:tcPr>
            <w:tcW w:w="7200" w:type="dxa"/>
            <w:tcBorders>
              <w:top w:val="single" w:sz="8" w:space="0" w:color="000000"/>
              <w:left w:val="single" w:sz="8" w:space="0" w:color="000000"/>
              <w:bottom w:val="single" w:sz="8" w:space="0" w:color="000000"/>
            </w:tcBorders>
          </w:tcPr>
          <w:p w:rsidR="0052074C" w:rsidRPr="00FC2E0B" w:rsidRDefault="0052074C" w:rsidP="0052074C">
            <w:pPr>
              <w:pStyle w:val="NoSpacing"/>
            </w:pPr>
            <w:r w:rsidRPr="00FC2E0B">
              <w:t xml:space="preserve">A key establishment procedure where the resultant secret keying material is a function of information contributed by two participants, so that no party can predetermine the value of the secret keying material independently from the contributions of the other party. Contrast with key transport. </w:t>
            </w:r>
          </w:p>
        </w:tc>
      </w:tr>
      <w:tr w:rsidR="0052074C" w:rsidRPr="00FC2E0B" w:rsidTr="00FC2E0B">
        <w:trPr>
          <w:trHeight w:val="572"/>
        </w:trPr>
        <w:tc>
          <w:tcPr>
            <w:tcW w:w="2340" w:type="dxa"/>
            <w:tcBorders>
              <w:top w:val="single" w:sz="8" w:space="0" w:color="000000"/>
              <w:bottom w:val="single" w:sz="8" w:space="0" w:color="000000"/>
              <w:right w:val="single" w:sz="8" w:space="0" w:color="000000"/>
            </w:tcBorders>
            <w:shd w:val="clear" w:color="auto" w:fill="FFFFFF"/>
          </w:tcPr>
          <w:p w:rsidR="0052074C" w:rsidRPr="00FC2E0B" w:rsidRDefault="0052074C" w:rsidP="0052074C">
            <w:pPr>
              <w:pStyle w:val="NoSpacing"/>
            </w:pPr>
            <w:r w:rsidRPr="00FC2E0B">
              <w:t xml:space="preserve">Key transport </w:t>
            </w:r>
          </w:p>
        </w:tc>
        <w:tc>
          <w:tcPr>
            <w:tcW w:w="7200" w:type="dxa"/>
            <w:tcBorders>
              <w:top w:val="single" w:sz="8" w:space="0" w:color="000000"/>
              <w:left w:val="single" w:sz="8" w:space="0" w:color="000000"/>
              <w:bottom w:val="single" w:sz="8" w:space="0" w:color="000000"/>
            </w:tcBorders>
          </w:tcPr>
          <w:p w:rsidR="0052074C" w:rsidRPr="00FC2E0B" w:rsidRDefault="0052074C" w:rsidP="0052074C">
            <w:pPr>
              <w:pStyle w:val="NoSpacing"/>
            </w:pPr>
            <w:r w:rsidRPr="00FC2E0B">
              <w:t xml:space="preserve">A key establishment procedure whereby one party (the sender) selects a value for the secret keying material and then securely distributes that value to another party (the receiver). Contrast with key agreement. </w:t>
            </w:r>
          </w:p>
        </w:tc>
      </w:tr>
      <w:tr w:rsidR="00FC2E0B" w:rsidRPr="00FC2E0B" w:rsidTr="00FC2E0B">
        <w:trPr>
          <w:trHeight w:val="572"/>
        </w:trPr>
        <w:tc>
          <w:tcPr>
            <w:tcW w:w="2340" w:type="dxa"/>
            <w:tcBorders>
              <w:top w:val="single" w:sz="8" w:space="0" w:color="000000"/>
              <w:bottom w:val="single" w:sz="8" w:space="0" w:color="000000"/>
              <w:right w:val="single" w:sz="8" w:space="0" w:color="000000"/>
            </w:tcBorders>
            <w:shd w:val="clear" w:color="auto" w:fill="FFFFFF"/>
          </w:tcPr>
          <w:p w:rsidR="00FC2E0B" w:rsidRPr="00FC2E0B" w:rsidRDefault="00FC2E0B" w:rsidP="00FC2E0B">
            <w:pPr>
              <w:pStyle w:val="NoSpacing"/>
            </w:pPr>
            <w:r w:rsidRPr="00FC2E0B">
              <w:t xml:space="preserve">Key wrapping </w:t>
            </w:r>
          </w:p>
        </w:tc>
        <w:tc>
          <w:tcPr>
            <w:tcW w:w="7200" w:type="dxa"/>
            <w:tcBorders>
              <w:top w:val="single" w:sz="8" w:space="0" w:color="000000"/>
              <w:left w:val="single" w:sz="8" w:space="0" w:color="000000"/>
              <w:bottom w:val="single" w:sz="8" w:space="0" w:color="000000"/>
            </w:tcBorders>
          </w:tcPr>
          <w:p w:rsidR="00FC2E0B" w:rsidRPr="00FC2E0B" w:rsidRDefault="00FC2E0B" w:rsidP="00FC2E0B">
            <w:pPr>
              <w:pStyle w:val="NoSpacing"/>
            </w:pPr>
            <w:r w:rsidRPr="00FC2E0B">
              <w:t xml:space="preserve">In this Recommendation, key wrapping is a method of protecting keying material using a symmetric-key-based authenticated encryption method, such as a block cipher key-wrapping mode specified in [SP 800-38F] that provides both confidentiality and integrity protection. </w:t>
            </w:r>
          </w:p>
        </w:tc>
      </w:tr>
      <w:tr w:rsidR="00FC2E0B" w:rsidRPr="00FC2E0B" w:rsidTr="00FC2E0B">
        <w:trPr>
          <w:trHeight w:val="433"/>
        </w:trPr>
        <w:tc>
          <w:tcPr>
            <w:tcW w:w="2340" w:type="dxa"/>
            <w:tcBorders>
              <w:top w:val="single" w:sz="8" w:space="0" w:color="000000"/>
              <w:bottom w:val="single" w:sz="8" w:space="0" w:color="000000"/>
              <w:right w:val="single" w:sz="8" w:space="0" w:color="000000"/>
            </w:tcBorders>
            <w:shd w:val="clear" w:color="auto" w:fill="FFFFFF"/>
          </w:tcPr>
          <w:p w:rsidR="00FC2E0B" w:rsidRPr="00FC2E0B" w:rsidRDefault="00FC2E0B" w:rsidP="00FC2E0B">
            <w:pPr>
              <w:pStyle w:val="NoSpacing"/>
            </w:pPr>
            <w:r w:rsidRPr="00FC2E0B">
              <w:t xml:space="preserve">Key-wrapping key </w:t>
            </w:r>
          </w:p>
        </w:tc>
        <w:tc>
          <w:tcPr>
            <w:tcW w:w="7200" w:type="dxa"/>
            <w:tcBorders>
              <w:top w:val="single" w:sz="8" w:space="0" w:color="000000"/>
              <w:left w:val="single" w:sz="8" w:space="0" w:color="000000"/>
              <w:bottom w:val="single" w:sz="8" w:space="0" w:color="000000"/>
            </w:tcBorders>
          </w:tcPr>
          <w:p w:rsidR="00FC2E0B" w:rsidRPr="00FC2E0B" w:rsidRDefault="00FC2E0B" w:rsidP="00FC2E0B">
            <w:pPr>
              <w:pStyle w:val="NoSpacing"/>
            </w:pPr>
            <w:r w:rsidRPr="00FC2E0B">
              <w:t xml:space="preserve">In this Recommendation, a key-wrapping key is a symmetric key established through a key-agreement transaction and used with a key-wrapping algorithm to protect the keying material to be transported. </w:t>
            </w:r>
          </w:p>
        </w:tc>
      </w:tr>
      <w:tr w:rsidR="00FC2E0B" w:rsidRPr="00FC2E0B" w:rsidTr="00FC2E0B">
        <w:trPr>
          <w:trHeight w:val="985"/>
        </w:trPr>
        <w:tc>
          <w:tcPr>
            <w:tcW w:w="2340" w:type="dxa"/>
            <w:tcBorders>
              <w:top w:val="single" w:sz="8" w:space="0" w:color="000000"/>
              <w:bottom w:val="single" w:sz="8" w:space="0" w:color="000000"/>
              <w:right w:val="single" w:sz="8" w:space="0" w:color="000000"/>
            </w:tcBorders>
            <w:shd w:val="clear" w:color="auto" w:fill="FFFFFF"/>
          </w:tcPr>
          <w:p w:rsidR="00FC2E0B" w:rsidRPr="00FC2E0B" w:rsidRDefault="00FC2E0B" w:rsidP="00FC2E0B">
            <w:pPr>
              <w:pStyle w:val="NoSpacing"/>
            </w:pPr>
            <w:r w:rsidRPr="00FC2E0B">
              <w:t xml:space="preserve">Keying material </w:t>
            </w:r>
          </w:p>
        </w:tc>
        <w:tc>
          <w:tcPr>
            <w:tcW w:w="7200" w:type="dxa"/>
            <w:tcBorders>
              <w:top w:val="single" w:sz="8" w:space="0" w:color="000000"/>
              <w:left w:val="single" w:sz="8" w:space="0" w:color="000000"/>
              <w:bottom w:val="single" w:sz="8" w:space="0" w:color="000000"/>
            </w:tcBorders>
          </w:tcPr>
          <w:p w:rsidR="00FC2E0B" w:rsidRPr="00FC2E0B" w:rsidRDefault="00FC2E0B" w:rsidP="00FC2E0B">
            <w:pPr>
              <w:pStyle w:val="NoSpacing"/>
            </w:pPr>
            <w:r w:rsidRPr="00FC2E0B">
              <w:t xml:space="preserve">Data that is represented as a binary string such that any non-overlapping segments of the string with the required lengths can be used as symmetric cryptographic keys. In this Recommendation, keying material is derived from a shared secret established during an execution of a key-establishment scheme or generated by the sender in a key transport scheme. As used in this Recommendation, secret keying material may include keys, secret initialization vectors, and other secret parameters. </w:t>
            </w:r>
          </w:p>
        </w:tc>
      </w:tr>
    </w:tbl>
    <w:p w:rsidR="00FC2E0B" w:rsidRDefault="003E6C5B" w:rsidP="00825B5E">
      <w:pPr>
        <w:pStyle w:val="Heading1"/>
      </w:pPr>
      <w:r>
        <w:t>Project:</w:t>
      </w:r>
    </w:p>
    <w:p w:rsidR="003E6C5B" w:rsidRDefault="003E6C5B" w:rsidP="003E6C5B">
      <w:pPr>
        <w:pStyle w:val="NoSpacing"/>
        <w:numPr>
          <w:ilvl w:val="0"/>
          <w:numId w:val="13"/>
        </w:numPr>
      </w:pPr>
      <w:r>
        <w:t>Use RSA 2048 bit to perform key transport.  A large file is encrypted using GCM (AES 256-bit) and the AES key (+</w:t>
      </w:r>
      <w:r w:rsidR="003F1C14">
        <w:t xml:space="preserve"> </w:t>
      </w:r>
      <w:r>
        <w:t xml:space="preserve">IV) is wrapped and delivered using the RSA </w:t>
      </w:r>
      <w:r w:rsidRPr="003E6C5B">
        <w:t>key transport</w:t>
      </w:r>
      <w:r>
        <w:t>.</w:t>
      </w:r>
    </w:p>
    <w:p w:rsidR="00FD4EFA" w:rsidRDefault="00FD4EFA" w:rsidP="00FD4EFA">
      <w:pPr>
        <w:pStyle w:val="NoSpacing"/>
        <w:numPr>
          <w:ilvl w:val="0"/>
          <w:numId w:val="16"/>
        </w:numPr>
      </w:pPr>
      <w:r>
        <w:t>Generate key pairs for Alice and bob and save in PA.txt, SA.txt, PB.txt and SB.txt (Hex)</w:t>
      </w:r>
    </w:p>
    <w:p w:rsidR="00FD4EFA" w:rsidRDefault="00FD4EFA" w:rsidP="00FD4EFA">
      <w:pPr>
        <w:pStyle w:val="NoSpacing"/>
        <w:numPr>
          <w:ilvl w:val="0"/>
          <w:numId w:val="16"/>
        </w:numPr>
      </w:pPr>
      <w:r>
        <w:t>Generate an AES key and IV using controlled seed.</w:t>
      </w:r>
    </w:p>
    <w:p w:rsidR="00F51E8B" w:rsidRDefault="00F51E8B" w:rsidP="00F51E8B">
      <w:pPr>
        <w:pStyle w:val="NoSpacing"/>
      </w:pPr>
      <w:bookmarkStart w:id="0" w:name="_GoBack"/>
      <w:bookmarkEnd w:id="0"/>
    </w:p>
    <w:p w:rsidR="00F51E8B" w:rsidRPr="00F51E8B" w:rsidRDefault="00F51E8B" w:rsidP="00F51E8B">
      <w:pPr>
        <w:ind w:left="360"/>
        <w:rPr>
          <w:rFonts w:ascii="Andale Mono" w:eastAsia="Times New Roman" w:hAnsi="Andale Mono" w:cs="Tahoma"/>
          <w:color w:val="000000"/>
          <w:sz w:val="20"/>
          <w:szCs w:val="20"/>
        </w:rPr>
      </w:pPr>
      <w:r w:rsidRPr="00F51E8B">
        <w:rPr>
          <w:rFonts w:ascii="Andale Mono" w:eastAsia="Times New Roman" w:hAnsi="Andale Mono" w:cs="Tahoma"/>
          <w:color w:val="000000"/>
          <w:sz w:val="20"/>
          <w:szCs w:val="20"/>
        </w:rPr>
        <w:t>// Generating Time Seed</w:t>
      </w:r>
    </w:p>
    <w:p w:rsidR="00F51E8B" w:rsidRPr="00F51E8B" w:rsidRDefault="00F51E8B" w:rsidP="00F51E8B">
      <w:pPr>
        <w:ind w:left="360"/>
        <w:rPr>
          <w:rFonts w:ascii="Andale Mono" w:eastAsia="Times New Roman" w:hAnsi="Andale Mono" w:cs="Tahoma"/>
          <w:color w:val="000000"/>
          <w:sz w:val="20"/>
          <w:szCs w:val="20"/>
        </w:rPr>
      </w:pPr>
      <w:proofErr w:type="gramStart"/>
      <w:r w:rsidRPr="00F51E8B">
        <w:rPr>
          <w:rFonts w:ascii="Andale Mono" w:eastAsia="Times New Roman" w:hAnsi="Andale Mono" w:cs="Tahoma"/>
          <w:color w:val="000000"/>
          <w:sz w:val="20"/>
          <w:szCs w:val="20"/>
        </w:rPr>
        <w:t>long</w:t>
      </w:r>
      <w:proofErr w:type="gramEnd"/>
      <w:r w:rsidRPr="00F51E8B">
        <w:rPr>
          <w:rFonts w:ascii="Andale Mono" w:eastAsia="Times New Roman" w:hAnsi="Andale Mono" w:cs="Tahoma"/>
          <w:color w:val="000000"/>
          <w:sz w:val="20"/>
          <w:szCs w:val="20"/>
        </w:rPr>
        <w:t xml:space="preserve"> startime11 = </w:t>
      </w:r>
      <w:proofErr w:type="spellStart"/>
      <w:r w:rsidRPr="00F51E8B">
        <w:rPr>
          <w:rFonts w:ascii="Andale Mono" w:eastAsia="Times New Roman" w:hAnsi="Andale Mono" w:cs="Tahoma"/>
          <w:color w:val="000000"/>
          <w:sz w:val="20"/>
          <w:szCs w:val="20"/>
        </w:rPr>
        <w:t>System.currentTimeMillis</w:t>
      </w:r>
      <w:proofErr w:type="spellEnd"/>
      <w:r w:rsidRPr="00F51E8B">
        <w:rPr>
          <w:rFonts w:ascii="Andale Mono" w:eastAsia="Times New Roman" w:hAnsi="Andale Mono" w:cs="Tahoma"/>
          <w:color w:val="000000"/>
          <w:sz w:val="20"/>
          <w:szCs w:val="20"/>
        </w:rPr>
        <w:t>();</w:t>
      </w:r>
    </w:p>
    <w:p w:rsidR="00F51E8B" w:rsidRPr="00F51E8B" w:rsidRDefault="00F51E8B" w:rsidP="00F51E8B">
      <w:pPr>
        <w:ind w:left="360"/>
        <w:rPr>
          <w:rFonts w:ascii="Andale Mono" w:eastAsia="Times New Roman" w:hAnsi="Andale Mono" w:cs="Tahoma"/>
          <w:color w:val="000000"/>
          <w:sz w:val="20"/>
          <w:szCs w:val="20"/>
        </w:rPr>
      </w:pPr>
      <w:proofErr w:type="gramStart"/>
      <w:r w:rsidRPr="00F51E8B">
        <w:rPr>
          <w:rFonts w:ascii="Andale Mono" w:eastAsia="Times New Roman" w:hAnsi="Andale Mono" w:cs="Tahoma"/>
          <w:color w:val="000000"/>
          <w:sz w:val="20"/>
          <w:szCs w:val="20"/>
        </w:rPr>
        <w:t>long</w:t>
      </w:r>
      <w:proofErr w:type="gramEnd"/>
      <w:r w:rsidRPr="00F51E8B">
        <w:rPr>
          <w:rFonts w:ascii="Andale Mono" w:eastAsia="Times New Roman" w:hAnsi="Andale Mono" w:cs="Tahoma"/>
          <w:color w:val="000000"/>
          <w:sz w:val="20"/>
          <w:szCs w:val="20"/>
        </w:rPr>
        <w:t xml:space="preserve"> nanoGMT2 = </w:t>
      </w:r>
      <w:proofErr w:type="spellStart"/>
      <w:r w:rsidRPr="00F51E8B">
        <w:rPr>
          <w:rFonts w:ascii="Andale Mono" w:eastAsia="Times New Roman" w:hAnsi="Andale Mono" w:cs="Tahoma"/>
          <w:color w:val="000000"/>
          <w:sz w:val="20"/>
          <w:szCs w:val="20"/>
        </w:rPr>
        <w:t>System.nanoTime</w:t>
      </w:r>
      <w:proofErr w:type="spellEnd"/>
      <w:r w:rsidRPr="00F51E8B">
        <w:rPr>
          <w:rFonts w:ascii="Andale Mono" w:eastAsia="Times New Roman" w:hAnsi="Andale Mono" w:cs="Tahoma"/>
          <w:color w:val="000000"/>
          <w:sz w:val="20"/>
          <w:szCs w:val="20"/>
        </w:rPr>
        <w:t>();</w:t>
      </w:r>
    </w:p>
    <w:p w:rsidR="00F51E8B" w:rsidRPr="00F51E8B" w:rsidRDefault="00F51E8B" w:rsidP="00F51E8B">
      <w:pPr>
        <w:ind w:left="360"/>
        <w:rPr>
          <w:rFonts w:ascii="Andale Mono" w:eastAsia="Times New Roman" w:hAnsi="Andale Mono" w:cs="Tahoma"/>
          <w:color w:val="000000"/>
          <w:sz w:val="20"/>
          <w:szCs w:val="20"/>
        </w:rPr>
      </w:pPr>
      <w:proofErr w:type="gramStart"/>
      <w:r w:rsidRPr="00F51E8B">
        <w:rPr>
          <w:rFonts w:ascii="Andale Mono" w:eastAsia="Times New Roman" w:hAnsi="Andale Mono" w:cs="Tahoma"/>
          <w:color w:val="000000"/>
          <w:sz w:val="20"/>
          <w:szCs w:val="20"/>
        </w:rPr>
        <w:t>long</w:t>
      </w:r>
      <w:proofErr w:type="gramEnd"/>
      <w:r w:rsidRPr="00F51E8B">
        <w:rPr>
          <w:rFonts w:ascii="Andale Mono" w:eastAsia="Times New Roman" w:hAnsi="Andale Mono" w:cs="Tahoma"/>
          <w:color w:val="000000"/>
          <w:sz w:val="20"/>
          <w:szCs w:val="20"/>
        </w:rPr>
        <w:t xml:space="preserve"> a = new Date().</w:t>
      </w:r>
      <w:proofErr w:type="spellStart"/>
      <w:r w:rsidRPr="00F51E8B">
        <w:rPr>
          <w:rFonts w:ascii="Andale Mono" w:eastAsia="Times New Roman" w:hAnsi="Andale Mono" w:cs="Tahoma"/>
          <w:color w:val="000000"/>
          <w:sz w:val="20"/>
          <w:szCs w:val="20"/>
        </w:rPr>
        <w:t>getTime</w:t>
      </w:r>
      <w:proofErr w:type="spellEnd"/>
      <w:r w:rsidRPr="00F51E8B">
        <w:rPr>
          <w:rFonts w:ascii="Andale Mono" w:eastAsia="Times New Roman" w:hAnsi="Andale Mono" w:cs="Tahoma"/>
          <w:color w:val="000000"/>
          <w:sz w:val="20"/>
          <w:szCs w:val="20"/>
        </w:rPr>
        <w:t>();</w:t>
      </w:r>
    </w:p>
    <w:p w:rsidR="00F51E8B" w:rsidRPr="00F51E8B" w:rsidRDefault="00F51E8B" w:rsidP="00F51E8B">
      <w:pPr>
        <w:ind w:left="360"/>
        <w:rPr>
          <w:rFonts w:ascii="Andale Mono" w:eastAsia="Times New Roman" w:hAnsi="Andale Mono" w:cs="Tahoma"/>
          <w:color w:val="000000"/>
          <w:sz w:val="20"/>
          <w:szCs w:val="20"/>
        </w:rPr>
      </w:pPr>
      <w:proofErr w:type="spellStart"/>
      <w:r w:rsidRPr="00F51E8B">
        <w:rPr>
          <w:rFonts w:ascii="Andale Mono" w:eastAsia="Times New Roman" w:hAnsi="Andale Mono" w:cs="Tahoma"/>
          <w:color w:val="000000"/>
          <w:sz w:val="20"/>
          <w:szCs w:val="20"/>
        </w:rPr>
        <w:t>ByteBuffer</w:t>
      </w:r>
      <w:proofErr w:type="spellEnd"/>
      <w:r w:rsidRPr="00F51E8B">
        <w:rPr>
          <w:rFonts w:ascii="Andale Mono" w:eastAsia="Times New Roman" w:hAnsi="Andale Mono" w:cs="Tahoma"/>
          <w:color w:val="000000"/>
          <w:sz w:val="20"/>
          <w:szCs w:val="20"/>
        </w:rPr>
        <w:t xml:space="preserve"> buffer = </w:t>
      </w:r>
      <w:proofErr w:type="spellStart"/>
      <w:proofErr w:type="gramStart"/>
      <w:r w:rsidRPr="00F51E8B">
        <w:rPr>
          <w:rFonts w:ascii="Andale Mono" w:eastAsia="Times New Roman" w:hAnsi="Andale Mono" w:cs="Tahoma"/>
          <w:color w:val="000000"/>
          <w:sz w:val="20"/>
          <w:szCs w:val="20"/>
        </w:rPr>
        <w:t>ByteBuffer.allocate</w:t>
      </w:r>
      <w:proofErr w:type="spellEnd"/>
      <w:r w:rsidRPr="00F51E8B">
        <w:rPr>
          <w:rFonts w:ascii="Andale Mono" w:eastAsia="Times New Roman" w:hAnsi="Andale Mono" w:cs="Tahoma"/>
          <w:color w:val="000000"/>
          <w:sz w:val="20"/>
          <w:szCs w:val="20"/>
        </w:rPr>
        <w:t>(</w:t>
      </w:r>
      <w:proofErr w:type="gramEnd"/>
      <w:r w:rsidRPr="00F51E8B">
        <w:rPr>
          <w:rFonts w:ascii="Andale Mono" w:eastAsia="Times New Roman" w:hAnsi="Andale Mono" w:cs="Tahoma"/>
          <w:color w:val="000000"/>
          <w:sz w:val="20"/>
          <w:szCs w:val="20"/>
        </w:rPr>
        <w:t>8);</w:t>
      </w:r>
    </w:p>
    <w:p w:rsidR="00F51E8B" w:rsidRPr="00F51E8B" w:rsidRDefault="00F51E8B" w:rsidP="00F51E8B">
      <w:pPr>
        <w:ind w:left="360"/>
        <w:rPr>
          <w:rFonts w:ascii="Andale Mono" w:eastAsia="Times New Roman" w:hAnsi="Andale Mono" w:cs="Tahoma"/>
          <w:color w:val="000000"/>
          <w:sz w:val="20"/>
          <w:szCs w:val="20"/>
        </w:rPr>
      </w:pPr>
      <w:proofErr w:type="spellStart"/>
      <w:proofErr w:type="gramStart"/>
      <w:r w:rsidRPr="00F51E8B">
        <w:rPr>
          <w:rFonts w:ascii="Andale Mono" w:eastAsia="Times New Roman" w:hAnsi="Andale Mono" w:cs="Tahoma"/>
          <w:color w:val="000000"/>
          <w:sz w:val="20"/>
          <w:szCs w:val="20"/>
        </w:rPr>
        <w:t>buffer.putLong</w:t>
      </w:r>
      <w:proofErr w:type="spellEnd"/>
      <w:r w:rsidRPr="00F51E8B">
        <w:rPr>
          <w:rFonts w:ascii="Andale Mono" w:eastAsia="Times New Roman" w:hAnsi="Andale Mono" w:cs="Tahoma"/>
          <w:color w:val="000000"/>
          <w:sz w:val="20"/>
          <w:szCs w:val="20"/>
        </w:rPr>
        <w:t>(</w:t>
      </w:r>
      <w:proofErr w:type="gramEnd"/>
      <w:r w:rsidRPr="00F51E8B">
        <w:rPr>
          <w:rFonts w:ascii="Andale Mono" w:eastAsia="Times New Roman" w:hAnsi="Andale Mono" w:cs="Tahoma"/>
          <w:color w:val="000000"/>
          <w:sz w:val="20"/>
          <w:szCs w:val="20"/>
        </w:rPr>
        <w:t>a);</w:t>
      </w:r>
    </w:p>
    <w:p w:rsidR="00F51E8B" w:rsidRPr="00F51E8B" w:rsidRDefault="00F51E8B" w:rsidP="00F51E8B">
      <w:pPr>
        <w:ind w:left="360"/>
        <w:rPr>
          <w:rFonts w:ascii="Andale Mono" w:eastAsia="Times New Roman" w:hAnsi="Andale Mono" w:cs="Tahoma"/>
          <w:color w:val="000000"/>
          <w:sz w:val="20"/>
          <w:szCs w:val="20"/>
        </w:rPr>
      </w:pPr>
      <w:proofErr w:type="gramStart"/>
      <w:r w:rsidRPr="00F51E8B">
        <w:rPr>
          <w:rFonts w:ascii="Andale Mono" w:eastAsia="Times New Roman" w:hAnsi="Andale Mono" w:cs="Tahoma"/>
          <w:color w:val="000000"/>
          <w:sz w:val="20"/>
          <w:szCs w:val="20"/>
        </w:rPr>
        <w:t>byte</w:t>
      </w:r>
      <w:proofErr w:type="gramEnd"/>
      <w:r w:rsidRPr="00F51E8B">
        <w:rPr>
          <w:rFonts w:ascii="Andale Mono" w:eastAsia="Times New Roman" w:hAnsi="Andale Mono" w:cs="Tahoma"/>
          <w:color w:val="000000"/>
          <w:sz w:val="20"/>
          <w:szCs w:val="20"/>
        </w:rPr>
        <w:t xml:space="preserve"> [] b = </w:t>
      </w:r>
      <w:proofErr w:type="spellStart"/>
      <w:r w:rsidRPr="00F51E8B">
        <w:rPr>
          <w:rFonts w:ascii="Andale Mono" w:eastAsia="Times New Roman" w:hAnsi="Andale Mono" w:cs="Tahoma"/>
          <w:color w:val="000000"/>
          <w:sz w:val="20"/>
          <w:szCs w:val="20"/>
        </w:rPr>
        <w:t>buffer.array</w:t>
      </w:r>
      <w:proofErr w:type="spellEnd"/>
      <w:r w:rsidRPr="00F51E8B">
        <w:rPr>
          <w:rFonts w:ascii="Andale Mono" w:eastAsia="Times New Roman" w:hAnsi="Andale Mono" w:cs="Tahoma"/>
          <w:color w:val="000000"/>
          <w:sz w:val="20"/>
          <w:szCs w:val="20"/>
        </w:rPr>
        <w:t>();</w:t>
      </w:r>
    </w:p>
    <w:p w:rsidR="00F51E8B" w:rsidRPr="00F51E8B" w:rsidRDefault="00F51E8B" w:rsidP="00F51E8B">
      <w:pPr>
        <w:ind w:left="360"/>
        <w:rPr>
          <w:rFonts w:ascii="Andale Mono" w:eastAsia="Times New Roman" w:hAnsi="Andale Mono" w:cs="Tahoma"/>
          <w:color w:val="000000"/>
          <w:sz w:val="20"/>
          <w:szCs w:val="20"/>
        </w:rPr>
      </w:pPr>
      <w:proofErr w:type="gramStart"/>
      <w:r w:rsidRPr="00F51E8B">
        <w:rPr>
          <w:rFonts w:ascii="Andale Mono" w:eastAsia="Times New Roman" w:hAnsi="Andale Mono" w:cs="Tahoma"/>
          <w:color w:val="000000"/>
          <w:sz w:val="20"/>
          <w:szCs w:val="20"/>
        </w:rPr>
        <w:t>byte[</w:t>
      </w:r>
      <w:proofErr w:type="gramEnd"/>
      <w:r w:rsidRPr="00F51E8B">
        <w:rPr>
          <w:rFonts w:ascii="Andale Mono" w:eastAsia="Times New Roman" w:hAnsi="Andale Mono" w:cs="Tahoma"/>
          <w:color w:val="000000"/>
          <w:sz w:val="20"/>
          <w:szCs w:val="20"/>
        </w:rPr>
        <w:t xml:space="preserve">] </w:t>
      </w:r>
      <w:proofErr w:type="spellStart"/>
      <w:r w:rsidRPr="00F51E8B">
        <w:rPr>
          <w:rFonts w:ascii="Andale Mono" w:eastAsia="Times New Roman" w:hAnsi="Andale Mono" w:cs="Tahoma"/>
          <w:color w:val="000000"/>
          <w:sz w:val="20"/>
          <w:szCs w:val="20"/>
        </w:rPr>
        <w:t>nanoBytes</w:t>
      </w:r>
      <w:proofErr w:type="spellEnd"/>
      <w:r w:rsidRPr="00F51E8B">
        <w:rPr>
          <w:rFonts w:ascii="Andale Mono" w:eastAsia="Times New Roman" w:hAnsi="Andale Mono" w:cs="Tahoma"/>
          <w:color w:val="000000"/>
          <w:sz w:val="20"/>
          <w:szCs w:val="20"/>
        </w:rPr>
        <w:t xml:space="preserve"> = </w:t>
      </w:r>
      <w:proofErr w:type="spellStart"/>
      <w:r w:rsidRPr="00F51E8B">
        <w:rPr>
          <w:rFonts w:ascii="Andale Mono" w:eastAsia="Times New Roman" w:hAnsi="Andale Mono" w:cs="Tahoma"/>
          <w:color w:val="000000"/>
          <w:sz w:val="20"/>
          <w:szCs w:val="20"/>
        </w:rPr>
        <w:t>ByteBuffer.allocate</w:t>
      </w:r>
      <w:proofErr w:type="spellEnd"/>
      <w:r w:rsidRPr="00F51E8B">
        <w:rPr>
          <w:rFonts w:ascii="Andale Mono" w:eastAsia="Times New Roman" w:hAnsi="Andale Mono" w:cs="Tahoma"/>
          <w:color w:val="000000"/>
          <w:sz w:val="20"/>
          <w:szCs w:val="20"/>
        </w:rPr>
        <w:t>(8).</w:t>
      </w:r>
      <w:proofErr w:type="spellStart"/>
      <w:r w:rsidRPr="00F51E8B">
        <w:rPr>
          <w:rFonts w:ascii="Andale Mono" w:eastAsia="Times New Roman" w:hAnsi="Andale Mono" w:cs="Tahoma"/>
          <w:color w:val="000000"/>
          <w:sz w:val="20"/>
          <w:szCs w:val="20"/>
        </w:rPr>
        <w:t>putLong</w:t>
      </w:r>
      <w:proofErr w:type="spellEnd"/>
      <w:r w:rsidRPr="00F51E8B">
        <w:rPr>
          <w:rFonts w:ascii="Andale Mono" w:eastAsia="Times New Roman" w:hAnsi="Andale Mono" w:cs="Tahoma"/>
          <w:color w:val="000000"/>
          <w:sz w:val="20"/>
          <w:szCs w:val="20"/>
        </w:rPr>
        <w:t>(nanoGMT2).array();</w:t>
      </w:r>
    </w:p>
    <w:p w:rsidR="00F51E8B" w:rsidRPr="00F51E8B" w:rsidRDefault="00F51E8B" w:rsidP="00F51E8B">
      <w:pPr>
        <w:ind w:left="360"/>
        <w:rPr>
          <w:rFonts w:ascii="Andale Mono" w:eastAsia="Times New Roman" w:hAnsi="Andale Mono" w:cs="Tahoma"/>
          <w:color w:val="000000"/>
          <w:sz w:val="20"/>
          <w:szCs w:val="20"/>
        </w:rPr>
      </w:pPr>
      <w:proofErr w:type="spellStart"/>
      <w:r w:rsidRPr="00F51E8B">
        <w:rPr>
          <w:rFonts w:ascii="Andale Mono" w:eastAsia="Times New Roman" w:hAnsi="Andale Mono" w:cs="Tahoma"/>
          <w:color w:val="000000"/>
          <w:sz w:val="20"/>
          <w:szCs w:val="20"/>
        </w:rPr>
        <w:t>ByteArrayOutputStream</w:t>
      </w:r>
      <w:proofErr w:type="spellEnd"/>
      <w:r w:rsidRPr="00F51E8B">
        <w:rPr>
          <w:rFonts w:ascii="Andale Mono" w:eastAsia="Times New Roman" w:hAnsi="Andale Mono" w:cs="Tahoma"/>
          <w:color w:val="000000"/>
          <w:sz w:val="20"/>
          <w:szCs w:val="20"/>
        </w:rPr>
        <w:t xml:space="preserve"> </w:t>
      </w:r>
      <w:proofErr w:type="spellStart"/>
      <w:r w:rsidRPr="00F51E8B">
        <w:rPr>
          <w:rFonts w:ascii="Andale Mono" w:eastAsia="Times New Roman" w:hAnsi="Andale Mono" w:cs="Tahoma"/>
          <w:color w:val="000000"/>
          <w:sz w:val="20"/>
          <w:szCs w:val="20"/>
        </w:rPr>
        <w:t>outputStream</w:t>
      </w:r>
      <w:proofErr w:type="spellEnd"/>
      <w:r w:rsidRPr="00F51E8B">
        <w:rPr>
          <w:rFonts w:ascii="Andale Mono" w:eastAsia="Times New Roman" w:hAnsi="Andale Mono" w:cs="Tahoma"/>
          <w:color w:val="000000"/>
          <w:sz w:val="20"/>
          <w:szCs w:val="20"/>
        </w:rPr>
        <w:t xml:space="preserve"> = new </w:t>
      </w:r>
      <w:proofErr w:type="spellStart"/>
      <w:proofErr w:type="gramStart"/>
      <w:r w:rsidRPr="00F51E8B">
        <w:rPr>
          <w:rFonts w:ascii="Andale Mono" w:eastAsia="Times New Roman" w:hAnsi="Andale Mono" w:cs="Tahoma"/>
          <w:color w:val="000000"/>
          <w:sz w:val="20"/>
          <w:szCs w:val="20"/>
        </w:rPr>
        <w:t>ByteArrayOutputStream</w:t>
      </w:r>
      <w:proofErr w:type="spellEnd"/>
      <w:r w:rsidRPr="00F51E8B">
        <w:rPr>
          <w:rFonts w:ascii="Andale Mono" w:eastAsia="Times New Roman" w:hAnsi="Andale Mono" w:cs="Tahoma"/>
          <w:color w:val="000000"/>
          <w:sz w:val="20"/>
          <w:szCs w:val="20"/>
        </w:rPr>
        <w:t>(</w:t>
      </w:r>
      <w:proofErr w:type="gramEnd"/>
      <w:r w:rsidRPr="00F51E8B">
        <w:rPr>
          <w:rFonts w:ascii="Andale Mono" w:eastAsia="Times New Roman" w:hAnsi="Andale Mono" w:cs="Tahoma"/>
          <w:color w:val="000000"/>
          <w:sz w:val="20"/>
          <w:szCs w:val="20"/>
        </w:rPr>
        <w:t xml:space="preserve"> );</w:t>
      </w:r>
    </w:p>
    <w:p w:rsidR="00F51E8B" w:rsidRPr="00F51E8B" w:rsidRDefault="00F51E8B" w:rsidP="00F51E8B">
      <w:pPr>
        <w:ind w:left="360"/>
        <w:rPr>
          <w:rFonts w:ascii="Andale Mono" w:eastAsia="Times New Roman" w:hAnsi="Andale Mono" w:cs="Tahoma"/>
          <w:color w:val="000000"/>
          <w:sz w:val="20"/>
          <w:szCs w:val="20"/>
        </w:rPr>
      </w:pPr>
      <w:proofErr w:type="spellStart"/>
      <w:proofErr w:type="gramStart"/>
      <w:r w:rsidRPr="00F51E8B">
        <w:rPr>
          <w:rFonts w:ascii="Andale Mono" w:eastAsia="Times New Roman" w:hAnsi="Andale Mono" w:cs="Tahoma"/>
          <w:color w:val="000000"/>
          <w:sz w:val="20"/>
          <w:szCs w:val="20"/>
        </w:rPr>
        <w:lastRenderedPageBreak/>
        <w:t>outputStream.write</w:t>
      </w:r>
      <w:proofErr w:type="spellEnd"/>
      <w:r w:rsidRPr="00F51E8B">
        <w:rPr>
          <w:rFonts w:ascii="Andale Mono" w:eastAsia="Times New Roman" w:hAnsi="Andale Mono" w:cs="Tahoma"/>
          <w:color w:val="000000"/>
          <w:sz w:val="20"/>
          <w:szCs w:val="20"/>
        </w:rPr>
        <w:t>(</w:t>
      </w:r>
      <w:proofErr w:type="gramEnd"/>
      <w:r w:rsidRPr="00F51E8B">
        <w:rPr>
          <w:rFonts w:ascii="Andale Mono" w:eastAsia="Times New Roman" w:hAnsi="Andale Mono" w:cs="Tahoma"/>
          <w:color w:val="000000"/>
          <w:sz w:val="20"/>
          <w:szCs w:val="20"/>
        </w:rPr>
        <w:t xml:space="preserve"> b );</w:t>
      </w:r>
    </w:p>
    <w:p w:rsidR="00F51E8B" w:rsidRPr="00F51E8B" w:rsidRDefault="00F51E8B" w:rsidP="00F51E8B">
      <w:pPr>
        <w:ind w:left="360"/>
        <w:rPr>
          <w:rFonts w:ascii="Andale Mono" w:eastAsia="Times New Roman" w:hAnsi="Andale Mono" w:cs="Tahoma"/>
          <w:color w:val="000000"/>
          <w:sz w:val="20"/>
          <w:szCs w:val="20"/>
        </w:rPr>
      </w:pPr>
      <w:proofErr w:type="spellStart"/>
      <w:proofErr w:type="gramStart"/>
      <w:r w:rsidRPr="00F51E8B">
        <w:rPr>
          <w:rFonts w:ascii="Andale Mono" w:eastAsia="Times New Roman" w:hAnsi="Andale Mono" w:cs="Tahoma"/>
          <w:color w:val="000000"/>
          <w:sz w:val="20"/>
          <w:szCs w:val="20"/>
        </w:rPr>
        <w:t>outputStream.write</w:t>
      </w:r>
      <w:proofErr w:type="spellEnd"/>
      <w:r w:rsidRPr="00F51E8B">
        <w:rPr>
          <w:rFonts w:ascii="Andale Mono" w:eastAsia="Times New Roman" w:hAnsi="Andale Mono" w:cs="Tahoma"/>
          <w:color w:val="000000"/>
          <w:sz w:val="20"/>
          <w:szCs w:val="20"/>
        </w:rPr>
        <w:t>(</w:t>
      </w:r>
      <w:proofErr w:type="gramEnd"/>
      <w:r w:rsidRPr="00F51E8B">
        <w:rPr>
          <w:rFonts w:ascii="Andale Mono" w:eastAsia="Times New Roman" w:hAnsi="Andale Mono" w:cs="Tahoma"/>
          <w:color w:val="000000"/>
          <w:sz w:val="20"/>
          <w:szCs w:val="20"/>
        </w:rPr>
        <w:t xml:space="preserve"> </w:t>
      </w:r>
      <w:proofErr w:type="spellStart"/>
      <w:r w:rsidRPr="00F51E8B">
        <w:rPr>
          <w:rFonts w:ascii="Andale Mono" w:eastAsia="Times New Roman" w:hAnsi="Andale Mono" w:cs="Tahoma"/>
          <w:color w:val="000000"/>
          <w:sz w:val="20"/>
          <w:szCs w:val="20"/>
        </w:rPr>
        <w:t>nanoBytes</w:t>
      </w:r>
      <w:proofErr w:type="spellEnd"/>
      <w:r w:rsidRPr="00F51E8B">
        <w:rPr>
          <w:rFonts w:ascii="Andale Mono" w:eastAsia="Times New Roman" w:hAnsi="Andale Mono" w:cs="Tahoma"/>
          <w:color w:val="000000"/>
          <w:sz w:val="20"/>
          <w:szCs w:val="20"/>
        </w:rPr>
        <w:t xml:space="preserve"> );</w:t>
      </w:r>
    </w:p>
    <w:p w:rsidR="00F51E8B" w:rsidRPr="00F51E8B" w:rsidRDefault="00F51E8B" w:rsidP="00F51E8B">
      <w:pPr>
        <w:ind w:left="360"/>
        <w:rPr>
          <w:rFonts w:ascii="Andale Mono" w:eastAsia="Times New Roman" w:hAnsi="Andale Mono" w:cs="Tahoma"/>
          <w:color w:val="000000"/>
          <w:sz w:val="20"/>
          <w:szCs w:val="20"/>
        </w:rPr>
      </w:pPr>
      <w:proofErr w:type="gramStart"/>
      <w:r w:rsidRPr="00F51E8B">
        <w:rPr>
          <w:rFonts w:ascii="Andale Mono" w:eastAsia="Times New Roman" w:hAnsi="Andale Mono" w:cs="Tahoma"/>
          <w:color w:val="000000"/>
          <w:sz w:val="20"/>
          <w:szCs w:val="20"/>
        </w:rPr>
        <w:t>byte[</w:t>
      </w:r>
      <w:proofErr w:type="gramEnd"/>
      <w:r w:rsidRPr="00F51E8B">
        <w:rPr>
          <w:rFonts w:ascii="Andale Mono" w:eastAsia="Times New Roman" w:hAnsi="Andale Mono" w:cs="Tahoma"/>
          <w:color w:val="000000"/>
          <w:sz w:val="20"/>
          <w:szCs w:val="20"/>
        </w:rPr>
        <w:t xml:space="preserve">] </w:t>
      </w:r>
      <w:proofErr w:type="spellStart"/>
      <w:r w:rsidRPr="00F51E8B">
        <w:rPr>
          <w:rFonts w:ascii="Andale Mono" w:eastAsia="Times New Roman" w:hAnsi="Andale Mono" w:cs="Tahoma"/>
          <w:color w:val="000000"/>
          <w:sz w:val="20"/>
          <w:szCs w:val="20"/>
        </w:rPr>
        <w:t>TimeSeed</w:t>
      </w:r>
      <w:proofErr w:type="spellEnd"/>
      <w:r w:rsidRPr="00F51E8B">
        <w:rPr>
          <w:rFonts w:ascii="Andale Mono" w:eastAsia="Times New Roman" w:hAnsi="Andale Mono" w:cs="Tahoma"/>
          <w:color w:val="000000"/>
          <w:sz w:val="20"/>
          <w:szCs w:val="20"/>
        </w:rPr>
        <w:t xml:space="preserve"> = </w:t>
      </w:r>
      <w:proofErr w:type="spellStart"/>
      <w:r w:rsidRPr="00F51E8B">
        <w:rPr>
          <w:rFonts w:ascii="Andale Mono" w:eastAsia="Times New Roman" w:hAnsi="Andale Mono" w:cs="Tahoma"/>
          <w:color w:val="000000"/>
          <w:sz w:val="20"/>
          <w:szCs w:val="20"/>
        </w:rPr>
        <w:t>outputStream.toByteArray</w:t>
      </w:r>
      <w:proofErr w:type="spellEnd"/>
      <w:r w:rsidRPr="00F51E8B">
        <w:rPr>
          <w:rFonts w:ascii="Andale Mono" w:eastAsia="Times New Roman" w:hAnsi="Andale Mono" w:cs="Tahoma"/>
          <w:color w:val="000000"/>
          <w:sz w:val="20"/>
          <w:szCs w:val="20"/>
        </w:rPr>
        <w:t>( );</w:t>
      </w:r>
    </w:p>
    <w:p w:rsidR="00341E43" w:rsidRDefault="00341E43" w:rsidP="00341E43">
      <w:pPr>
        <w:pStyle w:val="NoSpacing"/>
      </w:pPr>
      <w:r>
        <w:tab/>
      </w:r>
    </w:p>
    <w:p w:rsidR="00FD4EFA" w:rsidRDefault="00FD4EFA" w:rsidP="00FD4EFA">
      <w:pPr>
        <w:pStyle w:val="NoSpacing"/>
        <w:numPr>
          <w:ilvl w:val="0"/>
          <w:numId w:val="16"/>
        </w:numPr>
      </w:pPr>
      <w:r>
        <w:t>Use AES GCM to encrypt plain.txt (given in this folder</w:t>
      </w:r>
      <w:r w:rsidR="003F1C14">
        <w:t xml:space="preserve"> and it is a zipped </w:t>
      </w:r>
      <w:proofErr w:type="spellStart"/>
      <w:r w:rsidR="003F1C14">
        <w:t>pdf</w:t>
      </w:r>
      <w:proofErr w:type="spellEnd"/>
      <w:r w:rsidR="003F1C14">
        <w:t xml:space="preserve"> file</w:t>
      </w:r>
      <w:r>
        <w:t xml:space="preserve">) and save in cipher.txt </w:t>
      </w:r>
      <w:r w:rsidRPr="00FD4EFA">
        <w:t>(Hex)</w:t>
      </w:r>
    </w:p>
    <w:p w:rsidR="00FD4EFA" w:rsidRDefault="00FD4EFA" w:rsidP="00FD4EFA">
      <w:pPr>
        <w:pStyle w:val="NoSpacing"/>
        <w:numPr>
          <w:ilvl w:val="0"/>
          <w:numId w:val="16"/>
        </w:numPr>
      </w:pPr>
      <w:r>
        <w:t xml:space="preserve">Use SP </w:t>
      </w:r>
      <w:r w:rsidRPr="00FD4EFA">
        <w:t>800-38F</w:t>
      </w:r>
      <w:r>
        <w:t xml:space="preserve"> to wrap the </w:t>
      </w:r>
      <w:r w:rsidRPr="00FD4EFA">
        <w:t>AES key and IV</w:t>
      </w:r>
    </w:p>
    <w:p w:rsidR="00FD4EFA" w:rsidRDefault="00FD4EFA" w:rsidP="00570B2E">
      <w:pPr>
        <w:pStyle w:val="NoSpacing"/>
        <w:numPr>
          <w:ilvl w:val="0"/>
          <w:numId w:val="16"/>
        </w:numPr>
      </w:pPr>
      <w:r>
        <w:t xml:space="preserve">Use SP </w:t>
      </w:r>
      <w:r w:rsidRPr="00FD4EFA">
        <w:t>800-56B</w:t>
      </w:r>
      <w:r>
        <w:t xml:space="preserve"> </w:t>
      </w:r>
      <w:r w:rsidR="00570B2E">
        <w:t xml:space="preserve">(Figure 3) </w:t>
      </w:r>
      <w:r>
        <w:t>for key transport from Alice to Bob</w:t>
      </w:r>
    </w:p>
    <w:p w:rsidR="00FD4EFA" w:rsidRDefault="00FD4EFA" w:rsidP="00FD4EFA">
      <w:pPr>
        <w:pStyle w:val="NoSpacing"/>
        <w:numPr>
          <w:ilvl w:val="0"/>
          <w:numId w:val="16"/>
        </w:numPr>
      </w:pPr>
      <w:r>
        <w:t>Alice signs the signature for key transport</w:t>
      </w:r>
    </w:p>
    <w:p w:rsidR="00FD4EFA" w:rsidRDefault="00FD4EFA" w:rsidP="00FD4EFA">
      <w:pPr>
        <w:pStyle w:val="NoSpacing"/>
        <w:numPr>
          <w:ilvl w:val="0"/>
          <w:numId w:val="16"/>
        </w:numPr>
      </w:pPr>
      <w:r>
        <w:t>Bob verifies the signature</w:t>
      </w:r>
    </w:p>
    <w:p w:rsidR="00FD4EFA" w:rsidRDefault="00FD4EFA" w:rsidP="00FD4EFA">
      <w:pPr>
        <w:pStyle w:val="NoSpacing"/>
        <w:numPr>
          <w:ilvl w:val="0"/>
          <w:numId w:val="16"/>
        </w:numPr>
      </w:pPr>
      <w:r>
        <w:t xml:space="preserve">Bob unwrap the </w:t>
      </w:r>
      <w:r w:rsidRPr="00FD4EFA">
        <w:t>AES key and IV</w:t>
      </w:r>
    </w:p>
    <w:p w:rsidR="00FD4EFA" w:rsidRDefault="00FD4EFA" w:rsidP="00FD4EFA">
      <w:pPr>
        <w:pStyle w:val="NoSpacing"/>
        <w:numPr>
          <w:ilvl w:val="0"/>
          <w:numId w:val="16"/>
        </w:numPr>
      </w:pPr>
      <w:r>
        <w:t>Bob decrypts the ciphert.txt</w:t>
      </w:r>
      <w:r w:rsidR="003F1C14">
        <w:t xml:space="preserve">  (if you rename plain.txt to plain.zip, you can </w:t>
      </w:r>
      <w:proofErr w:type="spellStart"/>
      <w:r w:rsidR="003F1C14">
        <w:t>upzip</w:t>
      </w:r>
      <w:proofErr w:type="spellEnd"/>
      <w:r w:rsidR="003F1C14">
        <w:t xml:space="preserve"> it to a </w:t>
      </w:r>
      <w:proofErr w:type="spellStart"/>
      <w:r w:rsidR="003F1C14">
        <w:t>pdf</w:t>
      </w:r>
      <w:proofErr w:type="spellEnd"/>
      <w:r w:rsidR="003F1C14">
        <w:t xml:space="preserve"> file)</w:t>
      </w:r>
    </w:p>
    <w:p w:rsidR="00FD4EFA" w:rsidRDefault="00FD4EFA" w:rsidP="00FD4EFA">
      <w:pPr>
        <w:pStyle w:val="NoSpacing"/>
      </w:pPr>
    </w:p>
    <w:p w:rsidR="003E6C5B" w:rsidRDefault="00D004BA" w:rsidP="003E6C5B">
      <w:pPr>
        <w:pStyle w:val="NoSpacing"/>
        <w:numPr>
          <w:ilvl w:val="0"/>
          <w:numId w:val="13"/>
        </w:numPr>
      </w:pPr>
      <w:r>
        <w:t>Use ECDH K</w:t>
      </w:r>
      <w:r w:rsidR="003E6C5B">
        <w:t xml:space="preserve">-571 to perform key transport.  A large file is encrypted using GCM (AES 256-bit) and the </w:t>
      </w:r>
      <w:r w:rsidR="003E6C5B" w:rsidRPr="003E6C5B">
        <w:t xml:space="preserve">AES key (+IV) </w:t>
      </w:r>
      <w:r w:rsidR="003E6C5B">
        <w:t xml:space="preserve">is wrapped and delivered using the ECDH </w:t>
      </w:r>
      <w:r w:rsidR="003E6C5B" w:rsidRPr="003E6C5B">
        <w:t>key transport</w:t>
      </w:r>
      <w:r w:rsidR="003E6C5B">
        <w:t>.</w:t>
      </w:r>
    </w:p>
    <w:p w:rsidR="00182ABA" w:rsidRPr="00182ABA" w:rsidRDefault="00182ABA" w:rsidP="00182ABA">
      <w:pPr>
        <w:pStyle w:val="NoSpacing"/>
        <w:numPr>
          <w:ilvl w:val="0"/>
          <w:numId w:val="17"/>
        </w:numPr>
      </w:pPr>
      <w:r w:rsidRPr="00182ABA">
        <w:t xml:space="preserve">Generate </w:t>
      </w:r>
      <w:r>
        <w:t>private keys</w:t>
      </w:r>
      <w:r w:rsidRPr="00182ABA">
        <w:t xml:space="preserve"> for Alice and bob using controlled seed</w:t>
      </w:r>
      <w:r>
        <w:t xml:space="preserve"> </w:t>
      </w:r>
      <w:r w:rsidRPr="00182ABA">
        <w:t>save in SA.txt, and SB.txt (Hex).</w:t>
      </w:r>
    </w:p>
    <w:p w:rsidR="00FD4EFA" w:rsidRDefault="00FD4EFA" w:rsidP="00FD4EFA">
      <w:pPr>
        <w:pStyle w:val="NoSpacing"/>
        <w:numPr>
          <w:ilvl w:val="0"/>
          <w:numId w:val="17"/>
        </w:numPr>
      </w:pPr>
      <w:r>
        <w:t xml:space="preserve">Generate </w:t>
      </w:r>
      <w:r w:rsidR="00182ABA">
        <w:t>public key</w:t>
      </w:r>
      <w:r>
        <w:t xml:space="preserve">s for Alice and bob and save in PA.txt, </w:t>
      </w:r>
      <w:r w:rsidR="00182ABA" w:rsidRPr="00182ABA">
        <w:t xml:space="preserve">and </w:t>
      </w:r>
      <w:r>
        <w:t>PB.txt (Hex)</w:t>
      </w:r>
    </w:p>
    <w:p w:rsidR="00182ABA" w:rsidRDefault="00182ABA" w:rsidP="00FD4EFA">
      <w:pPr>
        <w:pStyle w:val="NoSpacing"/>
        <w:numPr>
          <w:ilvl w:val="0"/>
          <w:numId w:val="17"/>
        </w:numPr>
      </w:pPr>
      <w:r>
        <w:t xml:space="preserve">Generate </w:t>
      </w:r>
      <w:r w:rsidRPr="00182ABA">
        <w:t>an AES key and IV</w:t>
      </w:r>
      <w:r>
        <w:t xml:space="preserve"> by hashing </w:t>
      </w:r>
      <w:r w:rsidR="005F0582">
        <w:t xml:space="preserve">the </w:t>
      </w:r>
      <w:r>
        <w:t>shared secret</w:t>
      </w:r>
      <w:r w:rsidR="005F0582">
        <w:t xml:space="preserve"> + a </w:t>
      </w:r>
      <w:proofErr w:type="spellStart"/>
      <w:r w:rsidR="005F0582">
        <w:t>nounce</w:t>
      </w:r>
      <w:proofErr w:type="spellEnd"/>
      <w:r w:rsidR="005F0582">
        <w:t xml:space="preserve">.  </w:t>
      </w:r>
      <w:r w:rsidR="00570B2E">
        <w:t xml:space="preserve"> </w:t>
      </w:r>
      <w:r w:rsidR="005F0582" w:rsidRPr="005F0582">
        <w:t xml:space="preserve">The shared secret </w:t>
      </w:r>
      <w:r w:rsidR="005F0582">
        <w:t xml:space="preserve">is produced by ECDH </w:t>
      </w:r>
      <w:r w:rsidR="00570B2E">
        <w:t>(</w:t>
      </w:r>
      <w:r w:rsidR="00570B2E" w:rsidRPr="00570B2E">
        <w:t>SP 800-56C</w:t>
      </w:r>
      <w:r w:rsidR="00570B2E">
        <w:t>)</w:t>
      </w:r>
      <w:r>
        <w:t>.</w:t>
      </w:r>
    </w:p>
    <w:p w:rsidR="00FD4EFA" w:rsidRPr="00B12737" w:rsidRDefault="00FD4EFA" w:rsidP="00FD4EFA">
      <w:pPr>
        <w:pStyle w:val="NoSpacing"/>
        <w:numPr>
          <w:ilvl w:val="0"/>
          <w:numId w:val="17"/>
        </w:numPr>
        <w:rPr>
          <w:color w:val="0070C0"/>
        </w:rPr>
      </w:pPr>
      <w:r w:rsidRPr="00B12737">
        <w:rPr>
          <w:color w:val="0070C0"/>
        </w:rPr>
        <w:t>Use AES GCM to encrypt plain.txt (given in this folder) and save in cipher.txt (Hex)</w:t>
      </w:r>
    </w:p>
    <w:p w:rsidR="00FD4EFA" w:rsidRDefault="00B12737" w:rsidP="00FD4EFA">
      <w:pPr>
        <w:pStyle w:val="NoSpacing"/>
        <w:numPr>
          <w:ilvl w:val="0"/>
          <w:numId w:val="17"/>
        </w:numPr>
      </w:pPr>
      <w:r>
        <w:t>Use SP 800-56A ECDH</w:t>
      </w:r>
      <w:r w:rsidR="00FD4EFA">
        <w:t xml:space="preserve"> for key transport from Alice to Bob</w:t>
      </w:r>
    </w:p>
    <w:p w:rsidR="00B12737" w:rsidRDefault="00B12737" w:rsidP="00B12737">
      <w:pPr>
        <w:pStyle w:val="NoSpacing"/>
        <w:numPr>
          <w:ilvl w:val="1"/>
          <w:numId w:val="17"/>
        </w:numPr>
      </w:pPr>
      <w:r>
        <w:t xml:space="preserve">Generate </w:t>
      </w:r>
      <w:r w:rsidRPr="00B12737">
        <w:t>Alice’s ephemeral key</w:t>
      </w:r>
      <w:r>
        <w:t xml:space="preserve"> pair</w:t>
      </w:r>
    </w:p>
    <w:p w:rsidR="00B12737" w:rsidRDefault="00B12737" w:rsidP="00B12737">
      <w:pPr>
        <w:pStyle w:val="NoSpacing"/>
        <w:numPr>
          <w:ilvl w:val="1"/>
          <w:numId w:val="17"/>
        </w:numPr>
      </w:pPr>
      <w:r>
        <w:t>Use Bob’s static public key and Alice’s ephemeral private key to form an shared secret</w:t>
      </w:r>
    </w:p>
    <w:p w:rsidR="00B12737" w:rsidRDefault="00B12737" w:rsidP="00B12737">
      <w:pPr>
        <w:pStyle w:val="NoSpacing"/>
        <w:numPr>
          <w:ilvl w:val="1"/>
          <w:numId w:val="17"/>
        </w:numPr>
      </w:pPr>
      <w:r>
        <w:t xml:space="preserve">Use SP </w:t>
      </w:r>
      <w:r w:rsidRPr="00B12737">
        <w:t>800-56C</w:t>
      </w:r>
      <w:r>
        <w:t xml:space="preserve"> to generate </w:t>
      </w:r>
      <w:r w:rsidRPr="00B12737">
        <w:t>the AES key and IV</w:t>
      </w:r>
    </w:p>
    <w:p w:rsidR="00570B2E" w:rsidRPr="00B12737" w:rsidRDefault="00570B2E" w:rsidP="00570B2E">
      <w:pPr>
        <w:pStyle w:val="NoSpacing"/>
        <w:numPr>
          <w:ilvl w:val="0"/>
          <w:numId w:val="17"/>
        </w:numPr>
        <w:rPr>
          <w:color w:val="0070C0"/>
        </w:rPr>
      </w:pPr>
      <w:r w:rsidRPr="00B12737">
        <w:rPr>
          <w:color w:val="0070C0"/>
        </w:rPr>
        <w:t>Use SP 800-38F to wrap the AES key and IV</w:t>
      </w:r>
      <w:r>
        <w:rPr>
          <w:color w:val="0070C0"/>
        </w:rPr>
        <w:t xml:space="preserve"> + </w:t>
      </w:r>
      <w:r w:rsidRPr="00570B2E">
        <w:rPr>
          <w:color w:val="0070C0"/>
        </w:rPr>
        <w:t xml:space="preserve">Alice’s </w:t>
      </w:r>
      <w:r>
        <w:rPr>
          <w:color w:val="0070C0"/>
        </w:rPr>
        <w:t xml:space="preserve">public </w:t>
      </w:r>
      <w:r w:rsidRPr="00570B2E">
        <w:rPr>
          <w:color w:val="0070C0"/>
        </w:rPr>
        <w:t>ephemeral key</w:t>
      </w:r>
    </w:p>
    <w:p w:rsidR="00FD4EFA" w:rsidRDefault="00FD4EFA" w:rsidP="00FD4EFA">
      <w:pPr>
        <w:pStyle w:val="NoSpacing"/>
        <w:numPr>
          <w:ilvl w:val="0"/>
          <w:numId w:val="17"/>
        </w:numPr>
      </w:pPr>
      <w:r>
        <w:t>Alice signs the signature</w:t>
      </w:r>
      <w:r w:rsidR="00487DA4">
        <w:t xml:space="preserve"> (ECDSA</w:t>
      </w:r>
      <w:r w:rsidR="00B12737">
        <w:t>)</w:t>
      </w:r>
      <w:r>
        <w:t xml:space="preserve"> for key transport</w:t>
      </w:r>
    </w:p>
    <w:p w:rsidR="00FD4EFA" w:rsidRDefault="00FD4EFA" w:rsidP="00FD4EFA">
      <w:pPr>
        <w:pStyle w:val="NoSpacing"/>
        <w:numPr>
          <w:ilvl w:val="0"/>
          <w:numId w:val="17"/>
        </w:numPr>
      </w:pPr>
      <w:r>
        <w:t>Bob verifies the signature</w:t>
      </w:r>
    </w:p>
    <w:p w:rsidR="00FD4EFA" w:rsidRDefault="00FD4EFA" w:rsidP="00FD4EFA">
      <w:pPr>
        <w:pStyle w:val="NoSpacing"/>
        <w:numPr>
          <w:ilvl w:val="0"/>
          <w:numId w:val="17"/>
        </w:numPr>
      </w:pPr>
      <w:r>
        <w:t>Bob unwrap the AES key and IV</w:t>
      </w:r>
    </w:p>
    <w:p w:rsidR="00FD4EFA" w:rsidRPr="00B12737" w:rsidRDefault="00FD4EFA" w:rsidP="00FD4EFA">
      <w:pPr>
        <w:pStyle w:val="NoSpacing"/>
        <w:numPr>
          <w:ilvl w:val="0"/>
          <w:numId w:val="17"/>
        </w:numPr>
        <w:rPr>
          <w:color w:val="0070C0"/>
        </w:rPr>
      </w:pPr>
      <w:r w:rsidRPr="00B12737">
        <w:rPr>
          <w:color w:val="0070C0"/>
        </w:rPr>
        <w:t>Bob decrypts the ciphert.txt</w:t>
      </w:r>
    </w:p>
    <w:p w:rsidR="00FD4EFA" w:rsidRDefault="00B12737" w:rsidP="00FD4EFA">
      <w:pPr>
        <w:pStyle w:val="NoSpacing"/>
      </w:pPr>
      <w:r>
        <w:t>(Blue text means use existing result)</w:t>
      </w:r>
    </w:p>
    <w:p w:rsidR="00B12737" w:rsidRDefault="00B12737" w:rsidP="00FD4EFA">
      <w:pPr>
        <w:pStyle w:val="NoSpacing"/>
      </w:pPr>
    </w:p>
    <w:p w:rsidR="003E6C5B" w:rsidRDefault="003E6C5B" w:rsidP="003E6C5B">
      <w:pPr>
        <w:pStyle w:val="NoSpacing"/>
        <w:numPr>
          <w:ilvl w:val="0"/>
          <w:numId w:val="13"/>
        </w:numPr>
      </w:pPr>
      <w:r>
        <w:t>Use password to generate keying material</w:t>
      </w:r>
      <w:r w:rsidR="00A41718">
        <w:t xml:space="preserve"> using the strongest method in SP </w:t>
      </w:r>
      <w:r w:rsidR="00A41718" w:rsidRPr="00A41718">
        <w:t>800-132</w:t>
      </w:r>
      <w:r>
        <w:t>.</w:t>
      </w:r>
      <w:r w:rsidR="00A41718">
        <w:t xml:space="preserve">  Consider how to </w:t>
      </w:r>
      <w:r w:rsidR="00817719">
        <w:t>protect salt</w:t>
      </w:r>
      <w:r w:rsidR="00825B5E">
        <w:t xml:space="preserve"> in a key transport.</w:t>
      </w:r>
      <w:r w:rsidR="00DB5C3F">
        <w:t xml:space="preserve">  The salt can be wrapped</w:t>
      </w:r>
      <w:r w:rsidR="00B82CE3">
        <w:t>.</w:t>
      </w:r>
    </w:p>
    <w:p w:rsidR="00B82CE3" w:rsidRDefault="00B82CE3" w:rsidP="00B82CE3">
      <w:pPr>
        <w:pStyle w:val="NoSpacing"/>
        <w:numPr>
          <w:ilvl w:val="0"/>
          <w:numId w:val="18"/>
        </w:numPr>
      </w:pPr>
      <w:r>
        <w:t>Generate a 512 bit salt using a controlled seed. (save in saltt.txt)</w:t>
      </w:r>
    </w:p>
    <w:p w:rsidR="00B82CE3" w:rsidRDefault="00B82CE3" w:rsidP="00B82CE3">
      <w:pPr>
        <w:pStyle w:val="NoSpacing"/>
        <w:numPr>
          <w:ilvl w:val="0"/>
          <w:numId w:val="18"/>
        </w:numPr>
      </w:pPr>
      <w:r>
        <w:t xml:space="preserve">Generate a AES key and IV using </w:t>
      </w:r>
      <w:r w:rsidRPr="00B82CE3">
        <w:t>SP 800-132</w:t>
      </w:r>
      <w:r>
        <w:t xml:space="preserve"> (save in keyIV.txt)</w:t>
      </w:r>
    </w:p>
    <w:p w:rsidR="00B82CE3" w:rsidRPr="00B12737" w:rsidRDefault="00B82CE3" w:rsidP="00B82CE3">
      <w:pPr>
        <w:pStyle w:val="NoSpacing"/>
        <w:numPr>
          <w:ilvl w:val="0"/>
          <w:numId w:val="18"/>
        </w:numPr>
        <w:rPr>
          <w:color w:val="0070C0"/>
        </w:rPr>
      </w:pPr>
      <w:r w:rsidRPr="00B12737">
        <w:rPr>
          <w:color w:val="0070C0"/>
        </w:rPr>
        <w:t>Use AES GCM to encrypt plain.txt (given in this folder) and save in cipher.txt (Hex)</w:t>
      </w:r>
    </w:p>
    <w:p w:rsidR="00B82CE3" w:rsidRDefault="00B82CE3" w:rsidP="00B82CE3">
      <w:pPr>
        <w:pStyle w:val="NoSpacing"/>
        <w:numPr>
          <w:ilvl w:val="0"/>
          <w:numId w:val="18"/>
        </w:numPr>
      </w:pPr>
      <w:r w:rsidRPr="00B82CE3">
        <w:t>Use SP 800-38F to wrap the Salt. (save in Saltwrap.txt)</w:t>
      </w:r>
    </w:p>
    <w:p w:rsidR="00B82CE3" w:rsidRPr="00B82CE3" w:rsidRDefault="00B82CE3" w:rsidP="00B82CE3">
      <w:pPr>
        <w:pStyle w:val="NoSpacing"/>
        <w:numPr>
          <w:ilvl w:val="0"/>
          <w:numId w:val="18"/>
        </w:numPr>
      </w:pPr>
      <w:proofErr w:type="spellStart"/>
      <w:r>
        <w:t>Upwarap</w:t>
      </w:r>
      <w:proofErr w:type="spellEnd"/>
      <w:r>
        <w:t xml:space="preserve"> saltt.txt</w:t>
      </w:r>
    </w:p>
    <w:p w:rsidR="00B82CE3" w:rsidRDefault="00B82CE3" w:rsidP="00B82CE3">
      <w:pPr>
        <w:pStyle w:val="NoSpacing"/>
        <w:numPr>
          <w:ilvl w:val="0"/>
          <w:numId w:val="18"/>
        </w:numPr>
      </w:pPr>
      <w:r>
        <w:t xml:space="preserve">Regenerate </w:t>
      </w:r>
      <w:r w:rsidRPr="00B82CE3">
        <w:t>a AES key and IV</w:t>
      </w:r>
    </w:p>
    <w:p w:rsidR="00B82CE3" w:rsidRPr="00B82CE3" w:rsidRDefault="00B82CE3" w:rsidP="00B82CE3">
      <w:pPr>
        <w:pStyle w:val="NoSpacing"/>
        <w:numPr>
          <w:ilvl w:val="0"/>
          <w:numId w:val="18"/>
        </w:numPr>
        <w:rPr>
          <w:color w:val="0070C0"/>
        </w:rPr>
      </w:pPr>
      <w:r w:rsidRPr="00B82CE3">
        <w:rPr>
          <w:color w:val="0070C0"/>
        </w:rPr>
        <w:t>Decrypt the ciphert.txt</w:t>
      </w:r>
    </w:p>
    <w:p w:rsidR="003E6C5B" w:rsidRDefault="003E6C5B" w:rsidP="00825B5E">
      <w:pPr>
        <w:pStyle w:val="Heading1"/>
      </w:pPr>
      <w:r>
        <w:lastRenderedPageBreak/>
        <w:t>Final:</w:t>
      </w:r>
    </w:p>
    <w:p w:rsidR="003E6C5B" w:rsidRDefault="003E6C5B" w:rsidP="003E6C5B">
      <w:pPr>
        <w:pStyle w:val="NoSpacing"/>
        <w:numPr>
          <w:ilvl w:val="0"/>
          <w:numId w:val="14"/>
        </w:numPr>
      </w:pPr>
      <w:r>
        <w:t>Discuss the security strength for Project part 1 using a table.</w:t>
      </w:r>
      <w:r w:rsidR="00A41534">
        <w:t xml:space="preserve"> </w:t>
      </w:r>
    </w:p>
    <w:tbl>
      <w:tblPr>
        <w:tblStyle w:val="TableGrid"/>
        <w:tblW w:w="0" w:type="auto"/>
        <w:tblLook w:val="04A0" w:firstRow="1" w:lastRow="0" w:firstColumn="1" w:lastColumn="0" w:noHBand="0" w:noVBand="1"/>
      </w:tblPr>
      <w:tblGrid>
        <w:gridCol w:w="1639"/>
        <w:gridCol w:w="1614"/>
        <w:gridCol w:w="1575"/>
        <w:gridCol w:w="1530"/>
        <w:gridCol w:w="1577"/>
        <w:gridCol w:w="1641"/>
      </w:tblGrid>
      <w:tr w:rsidR="009E29BC" w:rsidTr="009E29BC">
        <w:tc>
          <w:tcPr>
            <w:tcW w:w="1639" w:type="dxa"/>
          </w:tcPr>
          <w:p w:rsidR="009E29BC" w:rsidRDefault="009E29BC" w:rsidP="00A41534">
            <w:pPr>
              <w:pStyle w:val="NoSpacing"/>
            </w:pPr>
            <w:r>
              <w:t>RSA</w:t>
            </w:r>
          </w:p>
        </w:tc>
        <w:tc>
          <w:tcPr>
            <w:tcW w:w="1614" w:type="dxa"/>
          </w:tcPr>
          <w:p w:rsidR="009E29BC" w:rsidRDefault="009E29BC" w:rsidP="00A41534">
            <w:pPr>
              <w:pStyle w:val="NoSpacing"/>
            </w:pPr>
            <w:r>
              <w:t>AES key</w:t>
            </w:r>
          </w:p>
        </w:tc>
        <w:tc>
          <w:tcPr>
            <w:tcW w:w="1575" w:type="dxa"/>
          </w:tcPr>
          <w:p w:rsidR="009E29BC" w:rsidRDefault="009E29BC" w:rsidP="00A41534">
            <w:pPr>
              <w:pStyle w:val="NoSpacing"/>
            </w:pPr>
            <w:r>
              <w:t>IV</w:t>
            </w:r>
          </w:p>
        </w:tc>
        <w:tc>
          <w:tcPr>
            <w:tcW w:w="1530" w:type="dxa"/>
          </w:tcPr>
          <w:p w:rsidR="009E29BC" w:rsidRDefault="009E29BC" w:rsidP="00A41534">
            <w:pPr>
              <w:pStyle w:val="NoSpacing"/>
            </w:pPr>
            <w:r>
              <w:t>Key wrap key</w:t>
            </w:r>
          </w:p>
        </w:tc>
        <w:tc>
          <w:tcPr>
            <w:tcW w:w="1577" w:type="dxa"/>
          </w:tcPr>
          <w:p w:rsidR="009E29BC" w:rsidRDefault="009E29BC" w:rsidP="00A41534">
            <w:pPr>
              <w:pStyle w:val="NoSpacing"/>
            </w:pPr>
            <w:r>
              <w:t>….</w:t>
            </w:r>
          </w:p>
        </w:tc>
        <w:tc>
          <w:tcPr>
            <w:tcW w:w="1641" w:type="dxa"/>
          </w:tcPr>
          <w:p w:rsidR="009E29BC" w:rsidRDefault="009E29BC" w:rsidP="00A41534">
            <w:pPr>
              <w:pStyle w:val="NoSpacing"/>
            </w:pPr>
            <w:r>
              <w:t>Total</w:t>
            </w:r>
          </w:p>
        </w:tc>
      </w:tr>
      <w:tr w:rsidR="009E29BC" w:rsidTr="009E29BC">
        <w:trPr>
          <w:trHeight w:val="75"/>
        </w:trPr>
        <w:tc>
          <w:tcPr>
            <w:tcW w:w="1639" w:type="dxa"/>
            <w:vMerge w:val="restart"/>
          </w:tcPr>
          <w:p w:rsidR="009E29BC" w:rsidRDefault="009E29BC" w:rsidP="00A41534">
            <w:pPr>
              <w:pStyle w:val="NoSpacing"/>
            </w:pPr>
            <w:r>
              <w:t>1024</w:t>
            </w:r>
          </w:p>
        </w:tc>
        <w:tc>
          <w:tcPr>
            <w:tcW w:w="1614" w:type="dxa"/>
          </w:tcPr>
          <w:p w:rsidR="009E29BC" w:rsidRDefault="009E29BC" w:rsidP="00A41534">
            <w:pPr>
              <w:pStyle w:val="NoSpacing"/>
            </w:pPr>
            <w:r>
              <w:t>128</w:t>
            </w:r>
          </w:p>
        </w:tc>
        <w:tc>
          <w:tcPr>
            <w:tcW w:w="1575" w:type="dxa"/>
          </w:tcPr>
          <w:p w:rsidR="009E29BC" w:rsidRDefault="009E29BC" w:rsidP="00A41534">
            <w:pPr>
              <w:pStyle w:val="NoSpacing"/>
            </w:pPr>
          </w:p>
        </w:tc>
        <w:tc>
          <w:tcPr>
            <w:tcW w:w="1530" w:type="dxa"/>
          </w:tcPr>
          <w:p w:rsidR="009E29BC" w:rsidRDefault="009E29BC" w:rsidP="00A41534">
            <w:pPr>
              <w:pStyle w:val="NoSpacing"/>
            </w:pPr>
          </w:p>
        </w:tc>
        <w:tc>
          <w:tcPr>
            <w:tcW w:w="1577" w:type="dxa"/>
          </w:tcPr>
          <w:p w:rsidR="009E29BC" w:rsidRDefault="009E29BC" w:rsidP="00A41534">
            <w:pPr>
              <w:pStyle w:val="NoSpacing"/>
            </w:pPr>
          </w:p>
        </w:tc>
        <w:tc>
          <w:tcPr>
            <w:tcW w:w="1641" w:type="dxa"/>
          </w:tcPr>
          <w:p w:rsidR="009E29BC" w:rsidRDefault="009E29BC" w:rsidP="00A41534">
            <w:pPr>
              <w:pStyle w:val="NoSpacing"/>
            </w:pPr>
          </w:p>
        </w:tc>
      </w:tr>
      <w:tr w:rsidR="009E29BC" w:rsidTr="009E29BC">
        <w:trPr>
          <w:trHeight w:val="75"/>
        </w:trPr>
        <w:tc>
          <w:tcPr>
            <w:tcW w:w="1639" w:type="dxa"/>
            <w:vMerge/>
          </w:tcPr>
          <w:p w:rsidR="009E29BC" w:rsidRDefault="009E29BC" w:rsidP="00A41534">
            <w:pPr>
              <w:pStyle w:val="NoSpacing"/>
            </w:pPr>
          </w:p>
        </w:tc>
        <w:tc>
          <w:tcPr>
            <w:tcW w:w="1614" w:type="dxa"/>
          </w:tcPr>
          <w:p w:rsidR="009E29BC" w:rsidRDefault="009E29BC" w:rsidP="00A41534">
            <w:pPr>
              <w:pStyle w:val="NoSpacing"/>
            </w:pPr>
            <w:r>
              <w:t>256</w:t>
            </w:r>
          </w:p>
        </w:tc>
        <w:tc>
          <w:tcPr>
            <w:tcW w:w="1575" w:type="dxa"/>
          </w:tcPr>
          <w:p w:rsidR="009E29BC" w:rsidRDefault="009E29BC" w:rsidP="00A41534">
            <w:pPr>
              <w:pStyle w:val="NoSpacing"/>
            </w:pPr>
          </w:p>
        </w:tc>
        <w:tc>
          <w:tcPr>
            <w:tcW w:w="1530" w:type="dxa"/>
          </w:tcPr>
          <w:p w:rsidR="009E29BC" w:rsidRDefault="009E29BC" w:rsidP="00A41534">
            <w:pPr>
              <w:pStyle w:val="NoSpacing"/>
            </w:pPr>
          </w:p>
        </w:tc>
        <w:tc>
          <w:tcPr>
            <w:tcW w:w="1577" w:type="dxa"/>
          </w:tcPr>
          <w:p w:rsidR="009E29BC" w:rsidRDefault="009E29BC" w:rsidP="00A41534">
            <w:pPr>
              <w:pStyle w:val="NoSpacing"/>
            </w:pPr>
          </w:p>
        </w:tc>
        <w:tc>
          <w:tcPr>
            <w:tcW w:w="1641" w:type="dxa"/>
          </w:tcPr>
          <w:p w:rsidR="009E29BC" w:rsidRDefault="009E29BC" w:rsidP="00A41534">
            <w:pPr>
              <w:pStyle w:val="NoSpacing"/>
            </w:pPr>
          </w:p>
        </w:tc>
      </w:tr>
      <w:tr w:rsidR="009E29BC" w:rsidTr="009E29BC">
        <w:trPr>
          <w:trHeight w:val="75"/>
        </w:trPr>
        <w:tc>
          <w:tcPr>
            <w:tcW w:w="1639" w:type="dxa"/>
            <w:vMerge w:val="restart"/>
          </w:tcPr>
          <w:p w:rsidR="009E29BC" w:rsidRDefault="009E29BC" w:rsidP="00A41534">
            <w:pPr>
              <w:pStyle w:val="NoSpacing"/>
            </w:pPr>
            <w:r>
              <w:t>2048</w:t>
            </w:r>
          </w:p>
        </w:tc>
        <w:tc>
          <w:tcPr>
            <w:tcW w:w="1614" w:type="dxa"/>
          </w:tcPr>
          <w:p w:rsidR="009E29BC" w:rsidRDefault="009E29BC" w:rsidP="00BF6A52">
            <w:pPr>
              <w:pStyle w:val="NoSpacing"/>
            </w:pPr>
            <w:r>
              <w:t>128</w:t>
            </w:r>
          </w:p>
        </w:tc>
        <w:tc>
          <w:tcPr>
            <w:tcW w:w="1575" w:type="dxa"/>
          </w:tcPr>
          <w:p w:rsidR="009E29BC" w:rsidRDefault="009E29BC" w:rsidP="00A41534">
            <w:pPr>
              <w:pStyle w:val="NoSpacing"/>
            </w:pPr>
          </w:p>
        </w:tc>
        <w:tc>
          <w:tcPr>
            <w:tcW w:w="1530" w:type="dxa"/>
          </w:tcPr>
          <w:p w:rsidR="009E29BC" w:rsidRDefault="009E29BC" w:rsidP="00A41534">
            <w:pPr>
              <w:pStyle w:val="NoSpacing"/>
            </w:pPr>
          </w:p>
        </w:tc>
        <w:tc>
          <w:tcPr>
            <w:tcW w:w="1577" w:type="dxa"/>
          </w:tcPr>
          <w:p w:rsidR="009E29BC" w:rsidRDefault="009E29BC" w:rsidP="00A41534">
            <w:pPr>
              <w:pStyle w:val="NoSpacing"/>
            </w:pPr>
          </w:p>
        </w:tc>
        <w:tc>
          <w:tcPr>
            <w:tcW w:w="1641" w:type="dxa"/>
          </w:tcPr>
          <w:p w:rsidR="009E29BC" w:rsidRDefault="009E29BC" w:rsidP="00A41534">
            <w:pPr>
              <w:pStyle w:val="NoSpacing"/>
            </w:pPr>
          </w:p>
        </w:tc>
      </w:tr>
      <w:tr w:rsidR="009E29BC" w:rsidTr="009E29BC">
        <w:trPr>
          <w:trHeight w:val="75"/>
        </w:trPr>
        <w:tc>
          <w:tcPr>
            <w:tcW w:w="1639" w:type="dxa"/>
            <w:vMerge/>
          </w:tcPr>
          <w:p w:rsidR="009E29BC" w:rsidRDefault="009E29BC" w:rsidP="00A41534">
            <w:pPr>
              <w:pStyle w:val="NoSpacing"/>
            </w:pPr>
          </w:p>
        </w:tc>
        <w:tc>
          <w:tcPr>
            <w:tcW w:w="1614" w:type="dxa"/>
          </w:tcPr>
          <w:p w:rsidR="009E29BC" w:rsidRDefault="009E29BC" w:rsidP="00BF6A52">
            <w:pPr>
              <w:pStyle w:val="NoSpacing"/>
            </w:pPr>
            <w:r>
              <w:t>256</w:t>
            </w:r>
          </w:p>
        </w:tc>
        <w:tc>
          <w:tcPr>
            <w:tcW w:w="1575" w:type="dxa"/>
          </w:tcPr>
          <w:p w:rsidR="009E29BC" w:rsidRDefault="009E29BC" w:rsidP="00A41534">
            <w:pPr>
              <w:pStyle w:val="NoSpacing"/>
            </w:pPr>
          </w:p>
        </w:tc>
        <w:tc>
          <w:tcPr>
            <w:tcW w:w="1530" w:type="dxa"/>
          </w:tcPr>
          <w:p w:rsidR="009E29BC" w:rsidRDefault="009E29BC" w:rsidP="00A41534">
            <w:pPr>
              <w:pStyle w:val="NoSpacing"/>
            </w:pPr>
          </w:p>
        </w:tc>
        <w:tc>
          <w:tcPr>
            <w:tcW w:w="1577" w:type="dxa"/>
          </w:tcPr>
          <w:p w:rsidR="009E29BC" w:rsidRDefault="009E29BC" w:rsidP="00A41534">
            <w:pPr>
              <w:pStyle w:val="NoSpacing"/>
            </w:pPr>
          </w:p>
        </w:tc>
        <w:tc>
          <w:tcPr>
            <w:tcW w:w="1641" w:type="dxa"/>
          </w:tcPr>
          <w:p w:rsidR="009E29BC" w:rsidRDefault="009E29BC" w:rsidP="00A41534">
            <w:pPr>
              <w:pStyle w:val="NoSpacing"/>
            </w:pPr>
          </w:p>
        </w:tc>
      </w:tr>
      <w:tr w:rsidR="009E29BC" w:rsidTr="009E29BC">
        <w:trPr>
          <w:trHeight w:val="75"/>
        </w:trPr>
        <w:tc>
          <w:tcPr>
            <w:tcW w:w="1639" w:type="dxa"/>
            <w:vMerge w:val="restart"/>
          </w:tcPr>
          <w:p w:rsidR="009E29BC" w:rsidRDefault="009E29BC" w:rsidP="00A41534">
            <w:pPr>
              <w:pStyle w:val="NoSpacing"/>
            </w:pPr>
            <w:r>
              <w:t>4096</w:t>
            </w:r>
          </w:p>
        </w:tc>
        <w:tc>
          <w:tcPr>
            <w:tcW w:w="1614" w:type="dxa"/>
          </w:tcPr>
          <w:p w:rsidR="009E29BC" w:rsidRDefault="009E29BC" w:rsidP="00BF6A52">
            <w:pPr>
              <w:pStyle w:val="NoSpacing"/>
            </w:pPr>
            <w:r>
              <w:t>128</w:t>
            </w:r>
          </w:p>
        </w:tc>
        <w:tc>
          <w:tcPr>
            <w:tcW w:w="1575" w:type="dxa"/>
          </w:tcPr>
          <w:p w:rsidR="009E29BC" w:rsidRDefault="009E29BC" w:rsidP="00A41534">
            <w:pPr>
              <w:pStyle w:val="NoSpacing"/>
            </w:pPr>
          </w:p>
        </w:tc>
        <w:tc>
          <w:tcPr>
            <w:tcW w:w="1530" w:type="dxa"/>
          </w:tcPr>
          <w:p w:rsidR="009E29BC" w:rsidRDefault="009E29BC" w:rsidP="00A41534">
            <w:pPr>
              <w:pStyle w:val="NoSpacing"/>
            </w:pPr>
          </w:p>
        </w:tc>
        <w:tc>
          <w:tcPr>
            <w:tcW w:w="1577" w:type="dxa"/>
          </w:tcPr>
          <w:p w:rsidR="009E29BC" w:rsidRDefault="009E29BC" w:rsidP="00A41534">
            <w:pPr>
              <w:pStyle w:val="NoSpacing"/>
            </w:pPr>
          </w:p>
        </w:tc>
        <w:tc>
          <w:tcPr>
            <w:tcW w:w="1641" w:type="dxa"/>
          </w:tcPr>
          <w:p w:rsidR="009E29BC" w:rsidRDefault="009E29BC" w:rsidP="00A41534">
            <w:pPr>
              <w:pStyle w:val="NoSpacing"/>
            </w:pPr>
          </w:p>
        </w:tc>
      </w:tr>
      <w:tr w:rsidR="009E29BC" w:rsidTr="009E29BC">
        <w:trPr>
          <w:trHeight w:val="75"/>
        </w:trPr>
        <w:tc>
          <w:tcPr>
            <w:tcW w:w="1639" w:type="dxa"/>
            <w:vMerge/>
          </w:tcPr>
          <w:p w:rsidR="009E29BC" w:rsidRDefault="009E29BC" w:rsidP="00A41534">
            <w:pPr>
              <w:pStyle w:val="NoSpacing"/>
            </w:pPr>
          </w:p>
        </w:tc>
        <w:tc>
          <w:tcPr>
            <w:tcW w:w="1614" w:type="dxa"/>
          </w:tcPr>
          <w:p w:rsidR="009E29BC" w:rsidRDefault="009E29BC" w:rsidP="00BF6A52">
            <w:pPr>
              <w:pStyle w:val="NoSpacing"/>
            </w:pPr>
            <w:r>
              <w:t>256</w:t>
            </w:r>
          </w:p>
        </w:tc>
        <w:tc>
          <w:tcPr>
            <w:tcW w:w="1575" w:type="dxa"/>
          </w:tcPr>
          <w:p w:rsidR="009E29BC" w:rsidRDefault="009E29BC" w:rsidP="00A41534">
            <w:pPr>
              <w:pStyle w:val="NoSpacing"/>
            </w:pPr>
          </w:p>
        </w:tc>
        <w:tc>
          <w:tcPr>
            <w:tcW w:w="1530" w:type="dxa"/>
          </w:tcPr>
          <w:p w:rsidR="009E29BC" w:rsidRDefault="009E29BC" w:rsidP="00A41534">
            <w:pPr>
              <w:pStyle w:val="NoSpacing"/>
            </w:pPr>
          </w:p>
        </w:tc>
        <w:tc>
          <w:tcPr>
            <w:tcW w:w="1577" w:type="dxa"/>
          </w:tcPr>
          <w:p w:rsidR="009E29BC" w:rsidRDefault="009E29BC" w:rsidP="00A41534">
            <w:pPr>
              <w:pStyle w:val="NoSpacing"/>
            </w:pPr>
          </w:p>
        </w:tc>
        <w:tc>
          <w:tcPr>
            <w:tcW w:w="1641" w:type="dxa"/>
          </w:tcPr>
          <w:p w:rsidR="009E29BC" w:rsidRDefault="009E29BC" w:rsidP="00A41534">
            <w:pPr>
              <w:pStyle w:val="NoSpacing"/>
            </w:pPr>
          </w:p>
        </w:tc>
      </w:tr>
    </w:tbl>
    <w:p w:rsidR="00A41534" w:rsidRDefault="00A41534" w:rsidP="00A41534">
      <w:pPr>
        <w:pStyle w:val="NoSpacing"/>
      </w:pPr>
    </w:p>
    <w:p w:rsidR="00805110" w:rsidRDefault="00805110" w:rsidP="00805110">
      <w:pPr>
        <w:pStyle w:val="NoSpacing"/>
        <w:numPr>
          <w:ilvl w:val="0"/>
          <w:numId w:val="14"/>
        </w:numPr>
      </w:pPr>
      <w:r>
        <w:t xml:space="preserve">Discuss the security strength for Project part 2 using a table. </w:t>
      </w:r>
    </w:p>
    <w:tbl>
      <w:tblPr>
        <w:tblStyle w:val="TableGrid"/>
        <w:tblW w:w="0" w:type="auto"/>
        <w:tblLook w:val="04A0" w:firstRow="1" w:lastRow="0" w:firstColumn="1" w:lastColumn="0" w:noHBand="0" w:noVBand="1"/>
      </w:tblPr>
      <w:tblGrid>
        <w:gridCol w:w="1317"/>
        <w:gridCol w:w="1089"/>
        <w:gridCol w:w="1153"/>
        <w:gridCol w:w="1227"/>
        <w:gridCol w:w="1140"/>
        <w:gridCol w:w="1219"/>
        <w:gridCol w:w="1143"/>
        <w:gridCol w:w="1288"/>
      </w:tblGrid>
      <w:tr w:rsidR="009E29BC" w:rsidRPr="00805110" w:rsidTr="009E29BC">
        <w:tc>
          <w:tcPr>
            <w:tcW w:w="1317" w:type="dxa"/>
          </w:tcPr>
          <w:p w:rsidR="009E29BC" w:rsidRPr="00805110" w:rsidRDefault="009E29BC" w:rsidP="00805110">
            <w:pPr>
              <w:pStyle w:val="NoSpacing"/>
              <w:spacing w:line="276" w:lineRule="auto"/>
            </w:pPr>
            <w:r>
              <w:t>ECDH</w:t>
            </w:r>
          </w:p>
        </w:tc>
        <w:tc>
          <w:tcPr>
            <w:tcW w:w="1089" w:type="dxa"/>
          </w:tcPr>
          <w:p w:rsidR="009E29BC" w:rsidRPr="00805110" w:rsidRDefault="009E29BC" w:rsidP="00805110">
            <w:pPr>
              <w:pStyle w:val="NoSpacing"/>
            </w:pPr>
            <w:r>
              <w:t>Private key length</w:t>
            </w:r>
          </w:p>
        </w:tc>
        <w:tc>
          <w:tcPr>
            <w:tcW w:w="1153" w:type="dxa"/>
          </w:tcPr>
          <w:p w:rsidR="009E29BC" w:rsidRPr="00805110" w:rsidRDefault="009E29BC" w:rsidP="00805110">
            <w:pPr>
              <w:pStyle w:val="NoSpacing"/>
            </w:pPr>
            <w:r>
              <w:t>…..</w:t>
            </w:r>
          </w:p>
        </w:tc>
        <w:tc>
          <w:tcPr>
            <w:tcW w:w="1227" w:type="dxa"/>
          </w:tcPr>
          <w:p w:rsidR="009E29BC" w:rsidRPr="00805110" w:rsidRDefault="009E29BC" w:rsidP="00805110">
            <w:pPr>
              <w:pStyle w:val="NoSpacing"/>
              <w:spacing w:line="276" w:lineRule="auto"/>
            </w:pPr>
            <w:r w:rsidRPr="00805110">
              <w:t>AES</w:t>
            </w:r>
          </w:p>
        </w:tc>
        <w:tc>
          <w:tcPr>
            <w:tcW w:w="1140" w:type="dxa"/>
          </w:tcPr>
          <w:p w:rsidR="009E29BC" w:rsidRPr="00805110" w:rsidRDefault="009E29BC" w:rsidP="00805110">
            <w:pPr>
              <w:pStyle w:val="NoSpacing"/>
              <w:spacing w:line="276" w:lineRule="auto"/>
            </w:pPr>
            <w:r w:rsidRPr="00805110">
              <w:t>IV</w:t>
            </w:r>
          </w:p>
        </w:tc>
        <w:tc>
          <w:tcPr>
            <w:tcW w:w="1219" w:type="dxa"/>
          </w:tcPr>
          <w:p w:rsidR="009E29BC" w:rsidRPr="00805110" w:rsidRDefault="009E29BC" w:rsidP="00805110">
            <w:pPr>
              <w:pStyle w:val="NoSpacing"/>
            </w:pPr>
            <w:r w:rsidRPr="009E29BC">
              <w:t>Key wrap key</w:t>
            </w:r>
          </w:p>
        </w:tc>
        <w:tc>
          <w:tcPr>
            <w:tcW w:w="1143" w:type="dxa"/>
          </w:tcPr>
          <w:p w:rsidR="009E29BC" w:rsidRPr="00805110" w:rsidRDefault="009E29BC" w:rsidP="00805110">
            <w:pPr>
              <w:pStyle w:val="NoSpacing"/>
              <w:spacing w:line="276" w:lineRule="auto"/>
            </w:pPr>
            <w:r w:rsidRPr="00805110">
              <w:t>….</w:t>
            </w:r>
          </w:p>
        </w:tc>
        <w:tc>
          <w:tcPr>
            <w:tcW w:w="1288" w:type="dxa"/>
          </w:tcPr>
          <w:p w:rsidR="009E29BC" w:rsidRPr="00805110" w:rsidRDefault="009E29BC" w:rsidP="00805110">
            <w:pPr>
              <w:pStyle w:val="NoSpacing"/>
              <w:spacing w:line="276" w:lineRule="auto"/>
            </w:pPr>
            <w:r w:rsidRPr="00805110">
              <w:t>Total</w:t>
            </w:r>
          </w:p>
        </w:tc>
      </w:tr>
      <w:tr w:rsidR="00341E43" w:rsidRPr="00805110" w:rsidTr="009E29BC">
        <w:trPr>
          <w:trHeight w:val="75"/>
        </w:trPr>
        <w:tc>
          <w:tcPr>
            <w:tcW w:w="1317" w:type="dxa"/>
            <w:vMerge w:val="restart"/>
          </w:tcPr>
          <w:p w:rsidR="00341E43" w:rsidRPr="00341E43" w:rsidRDefault="00341E43" w:rsidP="00341E43">
            <w:pPr>
              <w:pStyle w:val="NoSpacing"/>
            </w:pPr>
            <w:r w:rsidRPr="00341E43">
              <w:t>P-256</w:t>
            </w:r>
          </w:p>
          <w:p w:rsidR="00341E43" w:rsidRPr="00D004BA" w:rsidRDefault="00341E43" w:rsidP="00D004BA">
            <w:pPr>
              <w:pStyle w:val="NoSpacing"/>
            </w:pPr>
          </w:p>
        </w:tc>
        <w:tc>
          <w:tcPr>
            <w:tcW w:w="1089" w:type="dxa"/>
          </w:tcPr>
          <w:p w:rsidR="00341E43" w:rsidRPr="00805110" w:rsidRDefault="00341E43" w:rsidP="00805110">
            <w:pPr>
              <w:pStyle w:val="NoSpacing"/>
            </w:pPr>
          </w:p>
        </w:tc>
        <w:tc>
          <w:tcPr>
            <w:tcW w:w="1153" w:type="dxa"/>
          </w:tcPr>
          <w:p w:rsidR="00341E43" w:rsidRPr="00805110" w:rsidRDefault="00341E43" w:rsidP="00805110">
            <w:pPr>
              <w:pStyle w:val="NoSpacing"/>
            </w:pPr>
          </w:p>
        </w:tc>
        <w:tc>
          <w:tcPr>
            <w:tcW w:w="1227" w:type="dxa"/>
          </w:tcPr>
          <w:p w:rsidR="00341E43" w:rsidRPr="00805110" w:rsidRDefault="00341E43" w:rsidP="00641DEE">
            <w:pPr>
              <w:pStyle w:val="NoSpacing"/>
              <w:spacing w:line="276" w:lineRule="auto"/>
            </w:pPr>
            <w:r w:rsidRPr="00805110">
              <w:t>128</w:t>
            </w:r>
          </w:p>
        </w:tc>
        <w:tc>
          <w:tcPr>
            <w:tcW w:w="1140" w:type="dxa"/>
          </w:tcPr>
          <w:p w:rsidR="00341E43" w:rsidRPr="00805110" w:rsidRDefault="00341E43" w:rsidP="00805110">
            <w:pPr>
              <w:pStyle w:val="NoSpacing"/>
            </w:pPr>
          </w:p>
        </w:tc>
        <w:tc>
          <w:tcPr>
            <w:tcW w:w="1219" w:type="dxa"/>
          </w:tcPr>
          <w:p w:rsidR="00341E43" w:rsidRPr="00805110" w:rsidRDefault="00341E43" w:rsidP="00805110">
            <w:pPr>
              <w:pStyle w:val="NoSpacing"/>
            </w:pPr>
          </w:p>
        </w:tc>
        <w:tc>
          <w:tcPr>
            <w:tcW w:w="1143" w:type="dxa"/>
          </w:tcPr>
          <w:p w:rsidR="00341E43" w:rsidRPr="00805110" w:rsidRDefault="00341E43" w:rsidP="00805110">
            <w:pPr>
              <w:pStyle w:val="NoSpacing"/>
            </w:pPr>
          </w:p>
        </w:tc>
        <w:tc>
          <w:tcPr>
            <w:tcW w:w="1288" w:type="dxa"/>
          </w:tcPr>
          <w:p w:rsidR="00341E43" w:rsidRPr="00805110" w:rsidRDefault="00341E43" w:rsidP="00805110">
            <w:pPr>
              <w:pStyle w:val="NoSpacing"/>
            </w:pPr>
          </w:p>
        </w:tc>
      </w:tr>
      <w:tr w:rsidR="00341E43" w:rsidRPr="00805110" w:rsidTr="009E29BC">
        <w:trPr>
          <w:trHeight w:val="75"/>
        </w:trPr>
        <w:tc>
          <w:tcPr>
            <w:tcW w:w="1317" w:type="dxa"/>
            <w:vMerge/>
          </w:tcPr>
          <w:p w:rsidR="00341E43" w:rsidRPr="00D004BA" w:rsidRDefault="00341E43" w:rsidP="00D004BA">
            <w:pPr>
              <w:pStyle w:val="NoSpacing"/>
            </w:pPr>
          </w:p>
        </w:tc>
        <w:tc>
          <w:tcPr>
            <w:tcW w:w="1089" w:type="dxa"/>
          </w:tcPr>
          <w:p w:rsidR="00341E43" w:rsidRPr="00805110" w:rsidRDefault="00341E43" w:rsidP="00805110">
            <w:pPr>
              <w:pStyle w:val="NoSpacing"/>
            </w:pPr>
          </w:p>
        </w:tc>
        <w:tc>
          <w:tcPr>
            <w:tcW w:w="1153" w:type="dxa"/>
          </w:tcPr>
          <w:p w:rsidR="00341E43" w:rsidRPr="00805110" w:rsidRDefault="00341E43" w:rsidP="00805110">
            <w:pPr>
              <w:pStyle w:val="NoSpacing"/>
            </w:pPr>
          </w:p>
        </w:tc>
        <w:tc>
          <w:tcPr>
            <w:tcW w:w="1227" w:type="dxa"/>
          </w:tcPr>
          <w:p w:rsidR="00341E43" w:rsidRPr="00805110" w:rsidRDefault="00341E43" w:rsidP="00641DEE">
            <w:pPr>
              <w:pStyle w:val="NoSpacing"/>
              <w:spacing w:line="276" w:lineRule="auto"/>
            </w:pPr>
            <w:r w:rsidRPr="00805110">
              <w:t>256</w:t>
            </w:r>
          </w:p>
        </w:tc>
        <w:tc>
          <w:tcPr>
            <w:tcW w:w="1140" w:type="dxa"/>
          </w:tcPr>
          <w:p w:rsidR="00341E43" w:rsidRPr="00805110" w:rsidRDefault="00341E43" w:rsidP="00805110">
            <w:pPr>
              <w:pStyle w:val="NoSpacing"/>
            </w:pPr>
          </w:p>
        </w:tc>
        <w:tc>
          <w:tcPr>
            <w:tcW w:w="1219" w:type="dxa"/>
          </w:tcPr>
          <w:p w:rsidR="00341E43" w:rsidRPr="00805110" w:rsidRDefault="00341E43" w:rsidP="00805110">
            <w:pPr>
              <w:pStyle w:val="NoSpacing"/>
            </w:pPr>
          </w:p>
        </w:tc>
        <w:tc>
          <w:tcPr>
            <w:tcW w:w="1143" w:type="dxa"/>
          </w:tcPr>
          <w:p w:rsidR="00341E43" w:rsidRPr="00805110" w:rsidRDefault="00341E43" w:rsidP="00805110">
            <w:pPr>
              <w:pStyle w:val="NoSpacing"/>
            </w:pPr>
          </w:p>
        </w:tc>
        <w:tc>
          <w:tcPr>
            <w:tcW w:w="1288" w:type="dxa"/>
          </w:tcPr>
          <w:p w:rsidR="00341E43" w:rsidRPr="00805110" w:rsidRDefault="00341E43" w:rsidP="00805110">
            <w:pPr>
              <w:pStyle w:val="NoSpacing"/>
            </w:pPr>
          </w:p>
        </w:tc>
      </w:tr>
      <w:tr w:rsidR="009E29BC" w:rsidRPr="00805110" w:rsidTr="009E29BC">
        <w:trPr>
          <w:trHeight w:val="75"/>
        </w:trPr>
        <w:tc>
          <w:tcPr>
            <w:tcW w:w="1317" w:type="dxa"/>
            <w:vMerge w:val="restart"/>
          </w:tcPr>
          <w:p w:rsidR="00D004BA" w:rsidRPr="00D004BA" w:rsidRDefault="00D004BA" w:rsidP="00D004BA">
            <w:pPr>
              <w:pStyle w:val="NoSpacing"/>
            </w:pPr>
            <w:r w:rsidRPr="00D004BA">
              <w:t>P-384</w:t>
            </w:r>
          </w:p>
          <w:p w:rsidR="009E29BC" w:rsidRPr="00805110" w:rsidRDefault="009E29BC" w:rsidP="00D004BA">
            <w:pPr>
              <w:pStyle w:val="NoSpacing"/>
            </w:pPr>
          </w:p>
        </w:tc>
        <w:tc>
          <w:tcPr>
            <w:tcW w:w="1089" w:type="dxa"/>
          </w:tcPr>
          <w:p w:rsidR="009E29BC" w:rsidRPr="00805110" w:rsidRDefault="009E29BC" w:rsidP="00805110">
            <w:pPr>
              <w:pStyle w:val="NoSpacing"/>
            </w:pPr>
          </w:p>
        </w:tc>
        <w:tc>
          <w:tcPr>
            <w:tcW w:w="1153" w:type="dxa"/>
          </w:tcPr>
          <w:p w:rsidR="009E29BC" w:rsidRPr="00805110" w:rsidRDefault="009E29BC" w:rsidP="00805110">
            <w:pPr>
              <w:pStyle w:val="NoSpacing"/>
            </w:pPr>
          </w:p>
        </w:tc>
        <w:tc>
          <w:tcPr>
            <w:tcW w:w="1227" w:type="dxa"/>
          </w:tcPr>
          <w:p w:rsidR="009E29BC" w:rsidRPr="00805110" w:rsidRDefault="009E29BC" w:rsidP="00805110">
            <w:pPr>
              <w:pStyle w:val="NoSpacing"/>
              <w:spacing w:line="276" w:lineRule="auto"/>
            </w:pPr>
            <w:r w:rsidRPr="00805110">
              <w:t>128</w:t>
            </w:r>
          </w:p>
        </w:tc>
        <w:tc>
          <w:tcPr>
            <w:tcW w:w="1140" w:type="dxa"/>
          </w:tcPr>
          <w:p w:rsidR="009E29BC" w:rsidRPr="00805110" w:rsidRDefault="009E29BC" w:rsidP="00805110">
            <w:pPr>
              <w:pStyle w:val="NoSpacing"/>
              <w:spacing w:line="276" w:lineRule="auto"/>
            </w:pPr>
          </w:p>
        </w:tc>
        <w:tc>
          <w:tcPr>
            <w:tcW w:w="1219" w:type="dxa"/>
          </w:tcPr>
          <w:p w:rsidR="009E29BC" w:rsidRPr="00805110" w:rsidRDefault="009E29BC" w:rsidP="00805110">
            <w:pPr>
              <w:pStyle w:val="NoSpacing"/>
            </w:pPr>
          </w:p>
        </w:tc>
        <w:tc>
          <w:tcPr>
            <w:tcW w:w="1143" w:type="dxa"/>
          </w:tcPr>
          <w:p w:rsidR="009E29BC" w:rsidRPr="00805110" w:rsidRDefault="009E29BC" w:rsidP="00805110">
            <w:pPr>
              <w:pStyle w:val="NoSpacing"/>
              <w:spacing w:line="276" w:lineRule="auto"/>
            </w:pPr>
          </w:p>
        </w:tc>
        <w:tc>
          <w:tcPr>
            <w:tcW w:w="1288" w:type="dxa"/>
          </w:tcPr>
          <w:p w:rsidR="009E29BC" w:rsidRPr="00805110" w:rsidRDefault="009E29BC" w:rsidP="00805110">
            <w:pPr>
              <w:pStyle w:val="NoSpacing"/>
              <w:spacing w:line="276" w:lineRule="auto"/>
            </w:pPr>
          </w:p>
        </w:tc>
      </w:tr>
      <w:tr w:rsidR="009E29BC" w:rsidRPr="00805110" w:rsidTr="009E29BC">
        <w:trPr>
          <w:trHeight w:val="75"/>
        </w:trPr>
        <w:tc>
          <w:tcPr>
            <w:tcW w:w="1317" w:type="dxa"/>
            <w:vMerge/>
          </w:tcPr>
          <w:p w:rsidR="009E29BC" w:rsidRPr="00805110" w:rsidRDefault="009E29BC" w:rsidP="00805110">
            <w:pPr>
              <w:pStyle w:val="NoSpacing"/>
              <w:spacing w:line="276" w:lineRule="auto"/>
            </w:pPr>
          </w:p>
        </w:tc>
        <w:tc>
          <w:tcPr>
            <w:tcW w:w="1089" w:type="dxa"/>
          </w:tcPr>
          <w:p w:rsidR="009E29BC" w:rsidRPr="00805110" w:rsidRDefault="009E29BC" w:rsidP="00805110">
            <w:pPr>
              <w:pStyle w:val="NoSpacing"/>
            </w:pPr>
          </w:p>
        </w:tc>
        <w:tc>
          <w:tcPr>
            <w:tcW w:w="1153" w:type="dxa"/>
          </w:tcPr>
          <w:p w:rsidR="009E29BC" w:rsidRPr="00805110" w:rsidRDefault="009E29BC" w:rsidP="00805110">
            <w:pPr>
              <w:pStyle w:val="NoSpacing"/>
            </w:pPr>
          </w:p>
        </w:tc>
        <w:tc>
          <w:tcPr>
            <w:tcW w:w="1227" w:type="dxa"/>
          </w:tcPr>
          <w:p w:rsidR="009E29BC" w:rsidRPr="00805110" w:rsidRDefault="009E29BC" w:rsidP="00805110">
            <w:pPr>
              <w:pStyle w:val="NoSpacing"/>
              <w:spacing w:line="276" w:lineRule="auto"/>
            </w:pPr>
            <w:r w:rsidRPr="00805110">
              <w:t>256</w:t>
            </w:r>
          </w:p>
        </w:tc>
        <w:tc>
          <w:tcPr>
            <w:tcW w:w="1140" w:type="dxa"/>
          </w:tcPr>
          <w:p w:rsidR="009E29BC" w:rsidRPr="00805110" w:rsidRDefault="009E29BC" w:rsidP="00805110">
            <w:pPr>
              <w:pStyle w:val="NoSpacing"/>
              <w:spacing w:line="276" w:lineRule="auto"/>
            </w:pPr>
          </w:p>
        </w:tc>
        <w:tc>
          <w:tcPr>
            <w:tcW w:w="1219" w:type="dxa"/>
          </w:tcPr>
          <w:p w:rsidR="009E29BC" w:rsidRPr="00805110" w:rsidRDefault="009E29BC" w:rsidP="00805110">
            <w:pPr>
              <w:pStyle w:val="NoSpacing"/>
            </w:pPr>
          </w:p>
        </w:tc>
        <w:tc>
          <w:tcPr>
            <w:tcW w:w="1143" w:type="dxa"/>
          </w:tcPr>
          <w:p w:rsidR="009E29BC" w:rsidRPr="00805110" w:rsidRDefault="009E29BC" w:rsidP="00805110">
            <w:pPr>
              <w:pStyle w:val="NoSpacing"/>
              <w:spacing w:line="276" w:lineRule="auto"/>
            </w:pPr>
          </w:p>
        </w:tc>
        <w:tc>
          <w:tcPr>
            <w:tcW w:w="1288" w:type="dxa"/>
          </w:tcPr>
          <w:p w:rsidR="009E29BC" w:rsidRPr="00805110" w:rsidRDefault="009E29BC" w:rsidP="00805110">
            <w:pPr>
              <w:pStyle w:val="NoSpacing"/>
              <w:spacing w:line="276" w:lineRule="auto"/>
            </w:pPr>
          </w:p>
        </w:tc>
      </w:tr>
      <w:tr w:rsidR="009E29BC" w:rsidRPr="00805110" w:rsidTr="009E29BC">
        <w:trPr>
          <w:trHeight w:val="75"/>
        </w:trPr>
        <w:tc>
          <w:tcPr>
            <w:tcW w:w="1317" w:type="dxa"/>
            <w:vMerge w:val="restart"/>
          </w:tcPr>
          <w:p w:rsidR="00D004BA" w:rsidRPr="00D004BA" w:rsidRDefault="00D004BA" w:rsidP="00D004BA">
            <w:pPr>
              <w:pStyle w:val="NoSpacing"/>
            </w:pPr>
            <w:r w:rsidRPr="00D004BA">
              <w:t>P-521</w:t>
            </w:r>
          </w:p>
          <w:p w:rsidR="009E29BC" w:rsidRPr="00805110" w:rsidRDefault="009E29BC" w:rsidP="00805110">
            <w:pPr>
              <w:pStyle w:val="NoSpacing"/>
              <w:spacing w:line="276" w:lineRule="auto"/>
            </w:pPr>
          </w:p>
        </w:tc>
        <w:tc>
          <w:tcPr>
            <w:tcW w:w="1089" w:type="dxa"/>
          </w:tcPr>
          <w:p w:rsidR="009E29BC" w:rsidRPr="00805110" w:rsidRDefault="009E29BC" w:rsidP="00805110">
            <w:pPr>
              <w:pStyle w:val="NoSpacing"/>
            </w:pPr>
          </w:p>
        </w:tc>
        <w:tc>
          <w:tcPr>
            <w:tcW w:w="1153" w:type="dxa"/>
          </w:tcPr>
          <w:p w:rsidR="009E29BC" w:rsidRPr="00805110" w:rsidRDefault="009E29BC" w:rsidP="00805110">
            <w:pPr>
              <w:pStyle w:val="NoSpacing"/>
            </w:pPr>
          </w:p>
        </w:tc>
        <w:tc>
          <w:tcPr>
            <w:tcW w:w="1227" w:type="dxa"/>
          </w:tcPr>
          <w:p w:rsidR="009E29BC" w:rsidRPr="00805110" w:rsidRDefault="009E29BC" w:rsidP="00805110">
            <w:pPr>
              <w:pStyle w:val="NoSpacing"/>
              <w:spacing w:line="276" w:lineRule="auto"/>
            </w:pPr>
            <w:r w:rsidRPr="00805110">
              <w:t>128</w:t>
            </w:r>
          </w:p>
        </w:tc>
        <w:tc>
          <w:tcPr>
            <w:tcW w:w="1140" w:type="dxa"/>
          </w:tcPr>
          <w:p w:rsidR="009E29BC" w:rsidRPr="00805110" w:rsidRDefault="009E29BC" w:rsidP="00805110">
            <w:pPr>
              <w:pStyle w:val="NoSpacing"/>
              <w:spacing w:line="276" w:lineRule="auto"/>
            </w:pPr>
          </w:p>
        </w:tc>
        <w:tc>
          <w:tcPr>
            <w:tcW w:w="1219" w:type="dxa"/>
          </w:tcPr>
          <w:p w:rsidR="009E29BC" w:rsidRPr="00805110" w:rsidRDefault="009E29BC" w:rsidP="00805110">
            <w:pPr>
              <w:pStyle w:val="NoSpacing"/>
            </w:pPr>
          </w:p>
        </w:tc>
        <w:tc>
          <w:tcPr>
            <w:tcW w:w="1143" w:type="dxa"/>
          </w:tcPr>
          <w:p w:rsidR="009E29BC" w:rsidRPr="00805110" w:rsidRDefault="009E29BC" w:rsidP="00805110">
            <w:pPr>
              <w:pStyle w:val="NoSpacing"/>
              <w:spacing w:line="276" w:lineRule="auto"/>
            </w:pPr>
          </w:p>
        </w:tc>
        <w:tc>
          <w:tcPr>
            <w:tcW w:w="1288" w:type="dxa"/>
          </w:tcPr>
          <w:p w:rsidR="009E29BC" w:rsidRPr="00805110" w:rsidRDefault="009E29BC" w:rsidP="00805110">
            <w:pPr>
              <w:pStyle w:val="NoSpacing"/>
              <w:spacing w:line="276" w:lineRule="auto"/>
            </w:pPr>
          </w:p>
        </w:tc>
      </w:tr>
      <w:tr w:rsidR="009E29BC" w:rsidRPr="00805110" w:rsidTr="009E29BC">
        <w:trPr>
          <w:trHeight w:val="75"/>
        </w:trPr>
        <w:tc>
          <w:tcPr>
            <w:tcW w:w="1317" w:type="dxa"/>
            <w:vMerge/>
          </w:tcPr>
          <w:p w:rsidR="009E29BC" w:rsidRPr="00805110" w:rsidRDefault="009E29BC" w:rsidP="00805110">
            <w:pPr>
              <w:pStyle w:val="NoSpacing"/>
              <w:spacing w:line="276" w:lineRule="auto"/>
            </w:pPr>
          </w:p>
        </w:tc>
        <w:tc>
          <w:tcPr>
            <w:tcW w:w="1089" w:type="dxa"/>
          </w:tcPr>
          <w:p w:rsidR="009E29BC" w:rsidRPr="00805110" w:rsidRDefault="009E29BC" w:rsidP="00805110">
            <w:pPr>
              <w:pStyle w:val="NoSpacing"/>
            </w:pPr>
          </w:p>
        </w:tc>
        <w:tc>
          <w:tcPr>
            <w:tcW w:w="1153" w:type="dxa"/>
          </w:tcPr>
          <w:p w:rsidR="009E29BC" w:rsidRPr="00805110" w:rsidRDefault="009E29BC" w:rsidP="00805110">
            <w:pPr>
              <w:pStyle w:val="NoSpacing"/>
            </w:pPr>
          </w:p>
        </w:tc>
        <w:tc>
          <w:tcPr>
            <w:tcW w:w="1227" w:type="dxa"/>
          </w:tcPr>
          <w:p w:rsidR="009E29BC" w:rsidRPr="00805110" w:rsidRDefault="009E29BC" w:rsidP="00805110">
            <w:pPr>
              <w:pStyle w:val="NoSpacing"/>
              <w:spacing w:line="276" w:lineRule="auto"/>
            </w:pPr>
            <w:r w:rsidRPr="00805110">
              <w:t>256</w:t>
            </w:r>
          </w:p>
        </w:tc>
        <w:tc>
          <w:tcPr>
            <w:tcW w:w="1140" w:type="dxa"/>
          </w:tcPr>
          <w:p w:rsidR="009E29BC" w:rsidRPr="00805110" w:rsidRDefault="009E29BC" w:rsidP="00805110">
            <w:pPr>
              <w:pStyle w:val="NoSpacing"/>
              <w:spacing w:line="276" w:lineRule="auto"/>
            </w:pPr>
          </w:p>
        </w:tc>
        <w:tc>
          <w:tcPr>
            <w:tcW w:w="1219" w:type="dxa"/>
          </w:tcPr>
          <w:p w:rsidR="009E29BC" w:rsidRPr="00805110" w:rsidRDefault="009E29BC" w:rsidP="00805110">
            <w:pPr>
              <w:pStyle w:val="NoSpacing"/>
            </w:pPr>
          </w:p>
        </w:tc>
        <w:tc>
          <w:tcPr>
            <w:tcW w:w="1143" w:type="dxa"/>
          </w:tcPr>
          <w:p w:rsidR="009E29BC" w:rsidRPr="00805110" w:rsidRDefault="009E29BC" w:rsidP="00805110">
            <w:pPr>
              <w:pStyle w:val="NoSpacing"/>
              <w:spacing w:line="276" w:lineRule="auto"/>
            </w:pPr>
          </w:p>
        </w:tc>
        <w:tc>
          <w:tcPr>
            <w:tcW w:w="1288" w:type="dxa"/>
          </w:tcPr>
          <w:p w:rsidR="009E29BC" w:rsidRPr="00805110" w:rsidRDefault="009E29BC" w:rsidP="00805110">
            <w:pPr>
              <w:pStyle w:val="NoSpacing"/>
              <w:spacing w:line="276" w:lineRule="auto"/>
            </w:pPr>
          </w:p>
        </w:tc>
      </w:tr>
      <w:tr w:rsidR="009E29BC" w:rsidRPr="00805110" w:rsidTr="009E29BC">
        <w:trPr>
          <w:trHeight w:val="75"/>
        </w:trPr>
        <w:tc>
          <w:tcPr>
            <w:tcW w:w="1317" w:type="dxa"/>
            <w:vMerge w:val="restart"/>
          </w:tcPr>
          <w:p w:rsidR="009E29BC" w:rsidRPr="00805110" w:rsidRDefault="00D004BA" w:rsidP="00D004BA">
            <w:pPr>
              <w:pStyle w:val="NoSpacing"/>
            </w:pPr>
            <w:r w:rsidRPr="00D004BA">
              <w:t>K-571</w:t>
            </w:r>
          </w:p>
        </w:tc>
        <w:tc>
          <w:tcPr>
            <w:tcW w:w="1089" w:type="dxa"/>
          </w:tcPr>
          <w:p w:rsidR="009E29BC" w:rsidRPr="00805110" w:rsidRDefault="009E29BC" w:rsidP="00805110">
            <w:pPr>
              <w:pStyle w:val="NoSpacing"/>
            </w:pPr>
          </w:p>
        </w:tc>
        <w:tc>
          <w:tcPr>
            <w:tcW w:w="1153" w:type="dxa"/>
          </w:tcPr>
          <w:p w:rsidR="009E29BC" w:rsidRPr="00805110" w:rsidRDefault="009E29BC" w:rsidP="00805110">
            <w:pPr>
              <w:pStyle w:val="NoSpacing"/>
            </w:pPr>
          </w:p>
        </w:tc>
        <w:tc>
          <w:tcPr>
            <w:tcW w:w="1227" w:type="dxa"/>
          </w:tcPr>
          <w:p w:rsidR="009E29BC" w:rsidRPr="00805110" w:rsidRDefault="009E29BC" w:rsidP="00805110">
            <w:pPr>
              <w:pStyle w:val="NoSpacing"/>
              <w:spacing w:line="276" w:lineRule="auto"/>
            </w:pPr>
            <w:r w:rsidRPr="00805110">
              <w:t>128</w:t>
            </w:r>
          </w:p>
        </w:tc>
        <w:tc>
          <w:tcPr>
            <w:tcW w:w="1140" w:type="dxa"/>
          </w:tcPr>
          <w:p w:rsidR="009E29BC" w:rsidRPr="00805110" w:rsidRDefault="009E29BC" w:rsidP="00805110">
            <w:pPr>
              <w:pStyle w:val="NoSpacing"/>
              <w:spacing w:line="276" w:lineRule="auto"/>
            </w:pPr>
          </w:p>
        </w:tc>
        <w:tc>
          <w:tcPr>
            <w:tcW w:w="1219" w:type="dxa"/>
          </w:tcPr>
          <w:p w:rsidR="009E29BC" w:rsidRPr="00805110" w:rsidRDefault="009E29BC" w:rsidP="00805110">
            <w:pPr>
              <w:pStyle w:val="NoSpacing"/>
            </w:pPr>
          </w:p>
        </w:tc>
        <w:tc>
          <w:tcPr>
            <w:tcW w:w="1143" w:type="dxa"/>
          </w:tcPr>
          <w:p w:rsidR="009E29BC" w:rsidRPr="00805110" w:rsidRDefault="009E29BC" w:rsidP="00805110">
            <w:pPr>
              <w:pStyle w:val="NoSpacing"/>
              <w:spacing w:line="276" w:lineRule="auto"/>
            </w:pPr>
          </w:p>
        </w:tc>
        <w:tc>
          <w:tcPr>
            <w:tcW w:w="1288" w:type="dxa"/>
          </w:tcPr>
          <w:p w:rsidR="009E29BC" w:rsidRPr="00805110" w:rsidRDefault="009E29BC" w:rsidP="00805110">
            <w:pPr>
              <w:pStyle w:val="NoSpacing"/>
              <w:spacing w:line="276" w:lineRule="auto"/>
            </w:pPr>
          </w:p>
        </w:tc>
      </w:tr>
      <w:tr w:rsidR="009E29BC" w:rsidRPr="00805110" w:rsidTr="009E29BC">
        <w:trPr>
          <w:trHeight w:val="75"/>
        </w:trPr>
        <w:tc>
          <w:tcPr>
            <w:tcW w:w="1317" w:type="dxa"/>
            <w:vMerge/>
          </w:tcPr>
          <w:p w:rsidR="009E29BC" w:rsidRPr="00805110" w:rsidRDefault="009E29BC" w:rsidP="00805110">
            <w:pPr>
              <w:pStyle w:val="NoSpacing"/>
              <w:spacing w:line="276" w:lineRule="auto"/>
            </w:pPr>
          </w:p>
        </w:tc>
        <w:tc>
          <w:tcPr>
            <w:tcW w:w="1089" w:type="dxa"/>
          </w:tcPr>
          <w:p w:rsidR="009E29BC" w:rsidRPr="00805110" w:rsidRDefault="009E29BC" w:rsidP="00805110">
            <w:pPr>
              <w:pStyle w:val="NoSpacing"/>
            </w:pPr>
          </w:p>
        </w:tc>
        <w:tc>
          <w:tcPr>
            <w:tcW w:w="1153" w:type="dxa"/>
          </w:tcPr>
          <w:p w:rsidR="009E29BC" w:rsidRPr="00805110" w:rsidRDefault="009E29BC" w:rsidP="00805110">
            <w:pPr>
              <w:pStyle w:val="NoSpacing"/>
            </w:pPr>
          </w:p>
        </w:tc>
        <w:tc>
          <w:tcPr>
            <w:tcW w:w="1227" w:type="dxa"/>
          </w:tcPr>
          <w:p w:rsidR="009E29BC" w:rsidRPr="00805110" w:rsidRDefault="009E29BC" w:rsidP="00805110">
            <w:pPr>
              <w:pStyle w:val="NoSpacing"/>
              <w:spacing w:line="276" w:lineRule="auto"/>
            </w:pPr>
            <w:r w:rsidRPr="00805110">
              <w:t>256</w:t>
            </w:r>
          </w:p>
        </w:tc>
        <w:tc>
          <w:tcPr>
            <w:tcW w:w="1140" w:type="dxa"/>
          </w:tcPr>
          <w:p w:rsidR="009E29BC" w:rsidRPr="00805110" w:rsidRDefault="009E29BC" w:rsidP="00805110">
            <w:pPr>
              <w:pStyle w:val="NoSpacing"/>
              <w:spacing w:line="276" w:lineRule="auto"/>
            </w:pPr>
          </w:p>
        </w:tc>
        <w:tc>
          <w:tcPr>
            <w:tcW w:w="1219" w:type="dxa"/>
          </w:tcPr>
          <w:p w:rsidR="009E29BC" w:rsidRPr="00805110" w:rsidRDefault="009E29BC" w:rsidP="00805110">
            <w:pPr>
              <w:pStyle w:val="NoSpacing"/>
            </w:pPr>
          </w:p>
        </w:tc>
        <w:tc>
          <w:tcPr>
            <w:tcW w:w="1143" w:type="dxa"/>
          </w:tcPr>
          <w:p w:rsidR="009E29BC" w:rsidRPr="00805110" w:rsidRDefault="009E29BC" w:rsidP="00805110">
            <w:pPr>
              <w:pStyle w:val="NoSpacing"/>
              <w:spacing w:line="276" w:lineRule="auto"/>
            </w:pPr>
          </w:p>
        </w:tc>
        <w:tc>
          <w:tcPr>
            <w:tcW w:w="1288" w:type="dxa"/>
          </w:tcPr>
          <w:p w:rsidR="009E29BC" w:rsidRPr="00805110" w:rsidRDefault="009E29BC" w:rsidP="00805110">
            <w:pPr>
              <w:pStyle w:val="NoSpacing"/>
              <w:spacing w:line="276" w:lineRule="auto"/>
            </w:pPr>
          </w:p>
        </w:tc>
      </w:tr>
    </w:tbl>
    <w:p w:rsidR="003E6C5B" w:rsidRDefault="003E6C5B" w:rsidP="003E6C5B">
      <w:pPr>
        <w:pStyle w:val="NoSpacing"/>
      </w:pPr>
    </w:p>
    <w:p w:rsidR="009E29BC" w:rsidRDefault="009E29BC" w:rsidP="009E29BC">
      <w:pPr>
        <w:pStyle w:val="NoSpacing"/>
        <w:numPr>
          <w:ilvl w:val="0"/>
          <w:numId w:val="14"/>
        </w:numPr>
      </w:pPr>
      <w:r>
        <w:t>Discuss the secu</w:t>
      </w:r>
      <w:r w:rsidR="003F1C14">
        <w:t>rity strength for Project part 3</w:t>
      </w:r>
      <w:r>
        <w:t xml:space="preserve"> using a table.  Create a table to include all input parameters.</w:t>
      </w:r>
    </w:p>
    <w:p w:rsidR="007E5841" w:rsidRDefault="007E5841" w:rsidP="007E5841">
      <w:pPr>
        <w:pStyle w:val="NoSpacing"/>
      </w:pPr>
    </w:p>
    <w:p w:rsidR="007E5841" w:rsidRDefault="007E5841" w:rsidP="007E5841">
      <w:pPr>
        <w:pStyle w:val="NoSpacing"/>
        <w:numPr>
          <w:ilvl w:val="0"/>
          <w:numId w:val="14"/>
        </w:numPr>
      </w:pPr>
      <w:r>
        <w:t xml:space="preserve">Compare the ECDSA and RSA-DSA speed for signing </w:t>
      </w:r>
      <w:r w:rsidRPr="007E5841">
        <w:t>plain.txt</w:t>
      </w:r>
      <w:r>
        <w:t xml:space="preserve"> for the same strength.</w:t>
      </w:r>
    </w:p>
    <w:p w:rsidR="007E5841" w:rsidRDefault="007E5841" w:rsidP="007E5841">
      <w:pPr>
        <w:pStyle w:val="ListParagraph"/>
      </w:pPr>
    </w:p>
    <w:p w:rsidR="007E5841" w:rsidRDefault="007E5841" w:rsidP="007E5841">
      <w:pPr>
        <w:pStyle w:val="NoSpacing"/>
        <w:numPr>
          <w:ilvl w:val="0"/>
          <w:numId w:val="14"/>
        </w:numPr>
      </w:pPr>
      <w:r>
        <w:t>Compare ECDH and DH speed for generating a shared secret.</w:t>
      </w:r>
    </w:p>
    <w:p w:rsidR="00856811" w:rsidRDefault="00856811" w:rsidP="00856811">
      <w:pPr>
        <w:pStyle w:val="ListParagraph"/>
      </w:pPr>
    </w:p>
    <w:p w:rsidR="00856811" w:rsidRDefault="00856811" w:rsidP="007E5841">
      <w:pPr>
        <w:pStyle w:val="NoSpacing"/>
        <w:numPr>
          <w:ilvl w:val="0"/>
          <w:numId w:val="14"/>
        </w:numPr>
      </w:pPr>
      <w:r>
        <w:t xml:space="preserve">(bonus) Password cracking </w:t>
      </w:r>
      <w:proofErr w:type="gramStart"/>
      <w:r>
        <w:t>against  Windows</w:t>
      </w:r>
      <w:proofErr w:type="gramEnd"/>
      <w:r>
        <w:t xml:space="preserve"> 7.</w:t>
      </w:r>
    </w:p>
    <w:p w:rsidR="00856811" w:rsidRDefault="00856811" w:rsidP="00856811">
      <w:pPr>
        <w:pStyle w:val="Ex-No-Space"/>
      </w:pPr>
      <w:r>
        <w:t>Tools:</w:t>
      </w:r>
    </w:p>
    <w:p w:rsidR="00856811" w:rsidRPr="00856811" w:rsidRDefault="00856811" w:rsidP="00856811">
      <w:pPr>
        <w:pStyle w:val="ListParagraph"/>
        <w:numPr>
          <w:ilvl w:val="0"/>
          <w:numId w:val="20"/>
        </w:numPr>
      </w:pPr>
      <w:r w:rsidRPr="00856811">
        <w:t xml:space="preserve">John the Ripper password cracker by </w:t>
      </w:r>
      <w:proofErr w:type="spellStart"/>
      <w:r w:rsidRPr="00856811">
        <w:t>Openwall</w:t>
      </w:r>
      <w:proofErr w:type="spellEnd"/>
      <w:r w:rsidRPr="00856811">
        <w:t xml:space="preserve"> Project</w:t>
      </w:r>
    </w:p>
    <w:p w:rsidR="00856811" w:rsidRPr="00856811" w:rsidRDefault="00856811" w:rsidP="00856811">
      <w:pPr>
        <w:pStyle w:val="ListParagraph"/>
      </w:pPr>
      <w:r w:rsidRPr="00856811">
        <w:t xml:space="preserve">For </w:t>
      </w:r>
      <w:proofErr w:type="gramStart"/>
      <w:r w:rsidRPr="00856811">
        <w:t>Unix</w:t>
      </w:r>
      <w:proofErr w:type="gramEnd"/>
      <w:r w:rsidRPr="00856811">
        <w:t>, Mac OS X, Windows, Linux, freeware</w:t>
      </w:r>
    </w:p>
    <w:p w:rsidR="00856811" w:rsidRPr="00856811" w:rsidRDefault="00856811" w:rsidP="00856811">
      <w:pPr>
        <w:pStyle w:val="ListParagraph"/>
        <w:numPr>
          <w:ilvl w:val="0"/>
          <w:numId w:val="20"/>
        </w:numPr>
      </w:pPr>
      <w:r w:rsidRPr="00856811">
        <w:t xml:space="preserve">Offline NT Password &amp; Registry Editor by </w:t>
      </w:r>
      <w:proofErr w:type="spellStart"/>
      <w:r w:rsidRPr="00856811">
        <w:t>Petter</w:t>
      </w:r>
      <w:proofErr w:type="spellEnd"/>
      <w:r w:rsidRPr="00856811">
        <w:t xml:space="preserve"> </w:t>
      </w:r>
      <w:proofErr w:type="spellStart"/>
      <w:r w:rsidRPr="00856811">
        <w:t>Nordahl</w:t>
      </w:r>
      <w:proofErr w:type="spellEnd"/>
      <w:r w:rsidRPr="00856811">
        <w:t>-Hagen</w:t>
      </w:r>
    </w:p>
    <w:p w:rsidR="00856811" w:rsidRPr="00856811" w:rsidRDefault="00856811" w:rsidP="00856811">
      <w:pPr>
        <w:pStyle w:val="ListParagraph"/>
      </w:pPr>
      <w:r w:rsidRPr="00856811">
        <w:t>Windows NT/2000/XP/2003/Vista/7 (32- and 64-bit), freeware</w:t>
      </w:r>
    </w:p>
    <w:p w:rsidR="00856811" w:rsidRPr="00856811" w:rsidRDefault="00856811" w:rsidP="00856811">
      <w:pPr>
        <w:pStyle w:val="ListParagraph"/>
        <w:numPr>
          <w:ilvl w:val="0"/>
          <w:numId w:val="20"/>
        </w:numPr>
      </w:pPr>
      <w:proofErr w:type="spellStart"/>
      <w:r w:rsidRPr="00856811">
        <w:t>MDcrack</w:t>
      </w:r>
      <w:proofErr w:type="spellEnd"/>
      <w:r w:rsidRPr="00856811">
        <w:t xml:space="preserve"> by Gregory </w:t>
      </w:r>
      <w:proofErr w:type="spellStart"/>
      <w:r w:rsidRPr="00856811">
        <w:t>Duchemin</w:t>
      </w:r>
      <w:proofErr w:type="spellEnd"/>
    </w:p>
    <w:p w:rsidR="00856811" w:rsidRPr="00856811" w:rsidRDefault="00856811" w:rsidP="00856811">
      <w:pPr>
        <w:pStyle w:val="ListParagraph"/>
      </w:pPr>
      <w:proofErr w:type="gramStart"/>
      <w:r w:rsidRPr="00856811">
        <w:t>Unix</w:t>
      </w:r>
      <w:proofErr w:type="gramEnd"/>
      <w:r w:rsidRPr="00856811">
        <w:t xml:space="preserve"> / Win32, freeware</w:t>
      </w:r>
    </w:p>
    <w:p w:rsidR="00856811" w:rsidRPr="00856811" w:rsidRDefault="00856811" w:rsidP="00856811">
      <w:pPr>
        <w:pStyle w:val="ListParagraph"/>
        <w:numPr>
          <w:ilvl w:val="0"/>
          <w:numId w:val="20"/>
        </w:numPr>
      </w:pPr>
      <w:proofErr w:type="spellStart"/>
      <w:r w:rsidRPr="00856811">
        <w:t>RainbowCrack</w:t>
      </w:r>
      <w:proofErr w:type="spellEnd"/>
      <w:r w:rsidRPr="00856811">
        <w:t xml:space="preserve"> </w:t>
      </w:r>
    </w:p>
    <w:p w:rsidR="00856811" w:rsidRPr="00856811" w:rsidRDefault="00856811" w:rsidP="00856811">
      <w:pPr>
        <w:pStyle w:val="ListParagraph"/>
      </w:pPr>
      <w:r w:rsidRPr="00856811">
        <w:t>For Windows, Linux, freeware</w:t>
      </w:r>
    </w:p>
    <w:p w:rsidR="00856811" w:rsidRPr="00856811" w:rsidRDefault="00856811" w:rsidP="00856811">
      <w:pPr>
        <w:pStyle w:val="ListParagraph"/>
        <w:numPr>
          <w:ilvl w:val="0"/>
          <w:numId w:val="20"/>
        </w:numPr>
      </w:pPr>
      <w:r w:rsidRPr="00856811">
        <w:t>Hash Suite by Alain Espinosa</w:t>
      </w:r>
    </w:p>
    <w:p w:rsidR="00856811" w:rsidRPr="00856811" w:rsidRDefault="00856811" w:rsidP="00856811">
      <w:pPr>
        <w:pStyle w:val="ListParagraph"/>
      </w:pPr>
      <w:r w:rsidRPr="00856811">
        <w:t>Windows XP/2003/Vista/7, shareware, free trial, $29.95</w:t>
      </w:r>
    </w:p>
    <w:p w:rsidR="00856811" w:rsidRPr="00856811" w:rsidRDefault="00856811" w:rsidP="00856811">
      <w:pPr>
        <w:pStyle w:val="ListParagraph"/>
        <w:numPr>
          <w:ilvl w:val="0"/>
          <w:numId w:val="20"/>
        </w:numPr>
      </w:pPr>
      <w:r w:rsidRPr="00856811">
        <w:t xml:space="preserve">Proactive System Password Recovery by </w:t>
      </w:r>
      <w:proofErr w:type="spellStart"/>
      <w:r w:rsidRPr="00856811">
        <w:t>ElcomSoft</w:t>
      </w:r>
      <w:proofErr w:type="spellEnd"/>
    </w:p>
    <w:p w:rsidR="00856811" w:rsidRDefault="00856811" w:rsidP="00856811">
      <w:pPr>
        <w:pStyle w:val="ListParagraph"/>
      </w:pPr>
      <w:r w:rsidRPr="00856811">
        <w:lastRenderedPageBreak/>
        <w:t>Windows, $79</w:t>
      </w:r>
    </w:p>
    <w:p w:rsidR="00856811" w:rsidRDefault="00856811" w:rsidP="00856811">
      <w:pPr>
        <w:pStyle w:val="NoSpacing"/>
      </w:pPr>
    </w:p>
    <w:p w:rsidR="003E6C5B" w:rsidRPr="00FC2E0B" w:rsidRDefault="003E6C5B" w:rsidP="00B435A1">
      <w:pPr>
        <w:pStyle w:val="Heading1"/>
      </w:pPr>
      <w:r>
        <w:t>Help</w:t>
      </w:r>
    </w:p>
    <w:p w:rsidR="00FC2E0B" w:rsidRPr="00FC2E0B" w:rsidRDefault="00FC2E0B" w:rsidP="00FC2E0B">
      <w:pPr>
        <w:pStyle w:val="NoSpacing"/>
      </w:pPr>
      <w:r w:rsidRPr="00FC2E0B">
        <w:t xml:space="preserve"> </w:t>
      </w:r>
    </w:p>
    <w:p w:rsidR="00FC2E0B" w:rsidRDefault="00FC2E0B" w:rsidP="00B435A1">
      <w:pPr>
        <w:pStyle w:val="Heading2"/>
      </w:pPr>
      <w:r w:rsidRPr="00FC2E0B">
        <w:t>NIST Special Publication 800-38F</w:t>
      </w:r>
      <w:r>
        <w:t xml:space="preserve"> Recommendation for Block Cipher Modes of Operation:</w:t>
      </w:r>
      <w:r w:rsidR="00B435A1">
        <w:t xml:space="preserve"> </w:t>
      </w:r>
      <w:r>
        <w:t>Methods for Key Wrapping</w:t>
      </w:r>
    </w:p>
    <w:p w:rsidR="00FC2E0B" w:rsidRDefault="00FC2E0B" w:rsidP="00FC2E0B">
      <w:pPr>
        <w:pStyle w:val="NoSpacing"/>
      </w:pPr>
    </w:p>
    <w:p w:rsidR="00FC2E0B" w:rsidRDefault="00FC2E0B" w:rsidP="00FC2E0B">
      <w:pPr>
        <w:pStyle w:val="NoSpacing"/>
      </w:pPr>
      <w:proofErr w:type="gramStart"/>
      <w:r w:rsidRPr="00FC2E0B">
        <w:t>ke</w:t>
      </w:r>
      <w:r w:rsidR="003E6C5B">
        <w:t>y</w:t>
      </w:r>
      <w:proofErr w:type="gramEnd"/>
      <w:r w:rsidR="003E6C5B">
        <w:t xml:space="preserve"> wrapping,</w:t>
      </w:r>
      <w:r w:rsidRPr="00FC2E0B">
        <w:t xml:space="preserve"> i.e., the protection of the confidentiality and integrity of cryptographic keys. In addition to describing existing methods, this publication specifies two new, deterministic authenticated encryption modes of operation of the Advanced Encryption Standard (AES) algorithm: the AES Key Wrap (KW) mode and the AES Key Wrap </w:t>
      </w:r>
      <w:proofErr w:type="gramStart"/>
      <w:r w:rsidRPr="00FC2E0B">
        <w:t>With</w:t>
      </w:r>
      <w:proofErr w:type="gramEnd"/>
      <w:r w:rsidRPr="00FC2E0B">
        <w:t xml:space="preserve"> Padding (KWP) mode.</w:t>
      </w:r>
    </w:p>
    <w:p w:rsidR="00FC2E0B" w:rsidRDefault="00FC2E0B" w:rsidP="00FC2E0B">
      <w:pPr>
        <w:pStyle w:val="NoSpacing"/>
      </w:pPr>
    </w:p>
    <w:p w:rsidR="00485B94" w:rsidRPr="00485B94" w:rsidRDefault="00485B94" w:rsidP="00B435A1">
      <w:pPr>
        <w:pStyle w:val="Heading2"/>
      </w:pPr>
      <w:r w:rsidRPr="00485B94">
        <w:t>Recommendation for Pair-Wise Key-Establishment Schemes Using Discrete Logarithm Cryptography</w:t>
      </w:r>
    </w:p>
    <w:p w:rsidR="00485B94" w:rsidRPr="00485B94" w:rsidRDefault="00485B94" w:rsidP="00485B94">
      <w:pPr>
        <w:pStyle w:val="NoSpacing"/>
        <w:rPr>
          <w:b/>
          <w:bCs/>
        </w:rPr>
      </w:pPr>
      <w:r w:rsidRPr="00485B94">
        <w:rPr>
          <w:b/>
          <w:bCs/>
        </w:rPr>
        <w:t xml:space="preserve">NIST Special Publication 800-56A </w:t>
      </w:r>
    </w:p>
    <w:p w:rsidR="00485B94" w:rsidRDefault="00485B94" w:rsidP="00485B94">
      <w:pPr>
        <w:pStyle w:val="NoSpacing"/>
        <w:rPr>
          <w:b/>
          <w:bCs/>
        </w:rPr>
      </w:pPr>
      <w:r w:rsidRPr="00485B94">
        <w:rPr>
          <w:b/>
          <w:bCs/>
        </w:rPr>
        <w:t>August 2012</w:t>
      </w:r>
    </w:p>
    <w:p w:rsidR="00117800" w:rsidRPr="00117800" w:rsidRDefault="00117800" w:rsidP="00117800">
      <w:pPr>
        <w:pStyle w:val="NoSpacing"/>
      </w:pPr>
      <w:r w:rsidRPr="00117800">
        <w:rPr>
          <w:b/>
          <w:bCs/>
        </w:rPr>
        <w:t xml:space="preserve">DLC-Based Key Transport </w:t>
      </w:r>
    </w:p>
    <w:p w:rsidR="00117800" w:rsidRPr="00117800" w:rsidRDefault="00117800" w:rsidP="00117800">
      <w:pPr>
        <w:pStyle w:val="NoSpacing"/>
      </w:pPr>
      <w:r w:rsidRPr="00117800">
        <w:t xml:space="preserve">A DLC-based key-transport scheme uses both a key-agreement scheme and a key-wrapping algorithm in a single transaction to establish keying material. During this transaction, a key-wrapping key </w:t>
      </w:r>
      <w:r w:rsidRPr="00117800">
        <w:rPr>
          <w:b/>
          <w:bCs/>
        </w:rPr>
        <w:t xml:space="preserve">shall </w:t>
      </w:r>
      <w:r w:rsidRPr="00117800">
        <w:t xml:space="preserve">be established using an </w:t>
      </w:r>
      <w:r w:rsidRPr="00117800">
        <w:rPr>
          <w:b/>
          <w:bCs/>
        </w:rPr>
        <w:t xml:space="preserve">approved </w:t>
      </w:r>
      <w:r w:rsidRPr="00117800">
        <w:t xml:space="preserve">key-agreement scheme. This key </w:t>
      </w:r>
      <w:r w:rsidRPr="00117800">
        <w:rPr>
          <w:b/>
          <w:bCs/>
        </w:rPr>
        <w:t xml:space="preserve">shall </w:t>
      </w:r>
      <w:r w:rsidRPr="00117800">
        <w:t xml:space="preserve">be used by party U to wrap secret keying material using an </w:t>
      </w:r>
      <w:r w:rsidRPr="00117800">
        <w:rPr>
          <w:b/>
          <w:bCs/>
        </w:rPr>
        <w:t xml:space="preserve">approved </w:t>
      </w:r>
      <w:r w:rsidRPr="00117800">
        <w:t xml:space="preserve">key-wrapping algorithm; the wrapped keying material is then sent to party V (i.e., party U in the key-agreement scheme will be the key-transport sender, and party V will be the key-transport receiver). </w:t>
      </w:r>
      <w:r w:rsidRPr="00117800">
        <w:rPr>
          <w:b/>
          <w:bCs/>
        </w:rPr>
        <w:t xml:space="preserve">Approved </w:t>
      </w:r>
      <w:r w:rsidRPr="00117800">
        <w:t xml:space="preserve">key-wrapping algorithms are provided in SP 800-38F. </w:t>
      </w:r>
    </w:p>
    <w:p w:rsidR="00117800" w:rsidRPr="00117800" w:rsidRDefault="00117800" w:rsidP="00117800">
      <w:pPr>
        <w:pStyle w:val="NoSpacing"/>
      </w:pPr>
      <w:r w:rsidRPr="00117800">
        <w:t xml:space="preserve">To comply with this Recommendation, the key-transport transaction </w:t>
      </w:r>
      <w:r w:rsidRPr="00117800">
        <w:rPr>
          <w:b/>
          <w:bCs/>
        </w:rPr>
        <w:t xml:space="preserve">shall </w:t>
      </w:r>
      <w:r w:rsidRPr="00117800">
        <w:t xml:space="preserve">use only </w:t>
      </w:r>
      <w:r w:rsidRPr="00117800">
        <w:rPr>
          <w:b/>
          <w:bCs/>
        </w:rPr>
        <w:t xml:space="preserve">approved </w:t>
      </w:r>
      <w:r w:rsidRPr="00117800">
        <w:t>key-agreement schemes that employ party V’s static key pair</w:t>
      </w:r>
      <w:r w:rsidRPr="00117800">
        <w:rPr>
          <w:vertAlign w:val="superscript"/>
        </w:rPr>
        <w:t xml:space="preserve">8 </w:t>
      </w:r>
      <w:r w:rsidRPr="00117800">
        <w:t>and require an ephemeral contribution by party U</w:t>
      </w:r>
      <w:r w:rsidRPr="00117800">
        <w:rPr>
          <w:vertAlign w:val="superscript"/>
        </w:rPr>
        <w:t>9</w:t>
      </w:r>
      <w:r w:rsidRPr="00117800">
        <w:t xml:space="preserve">. In particular, a C(2e, 2s), C(1e, 2s), C(1e, 1s) or C(0e, 2s) key-agreement scheme </w:t>
      </w:r>
      <w:r w:rsidRPr="00117800">
        <w:rPr>
          <w:b/>
          <w:bCs/>
        </w:rPr>
        <w:t xml:space="preserve">shall </w:t>
      </w:r>
      <w:r w:rsidRPr="00117800">
        <w:t xml:space="preserve">be used in which party U is the intended key-transport sender; a C(2e, 0s) scheme </w:t>
      </w:r>
      <w:r w:rsidRPr="00117800">
        <w:rPr>
          <w:b/>
          <w:bCs/>
        </w:rPr>
        <w:t xml:space="preserve">shall not </w:t>
      </w:r>
      <w:r w:rsidRPr="00117800">
        <w:t xml:space="preserve">be used to establish the key-wrapping key (regardless of which party is the intended key-transport sender). Although other methods may be used by protocols that incorporate key transport, this Recommendation makes no statement as to the adequacy of those methods. </w:t>
      </w:r>
    </w:p>
    <w:p w:rsidR="00117800" w:rsidRPr="00117800" w:rsidRDefault="00117800" w:rsidP="00117800">
      <w:pPr>
        <w:pStyle w:val="NoSpacing"/>
      </w:pPr>
      <w:r w:rsidRPr="00117800">
        <w:t xml:space="preserve">Key confirmation may optionally be provided by party V following the unwrapping of the received keying material, either instead of or in addition to any key confirmation that may be performed as part of the key-agreement scheme. When key confirmation is performed following the unwrapping process in accordance with this Recommendation, parties U and V </w:t>
      </w:r>
      <w:r w:rsidRPr="00117800">
        <w:rPr>
          <w:b/>
          <w:bCs/>
        </w:rPr>
        <w:t xml:space="preserve">shall </w:t>
      </w:r>
      <w:r w:rsidRPr="00117800">
        <w:t xml:space="preserve">have agreed upon an </w:t>
      </w:r>
      <w:r w:rsidRPr="00117800">
        <w:rPr>
          <w:b/>
          <w:bCs/>
        </w:rPr>
        <w:t xml:space="preserve">approved </w:t>
      </w:r>
      <w:r w:rsidRPr="00117800">
        <w:t xml:space="preserve">MAC algorithm and associated parameters (see Table 8 and Figure 9 in Section 5.9.3). </w:t>
      </w:r>
    </w:p>
    <w:p w:rsidR="00117800" w:rsidRPr="00117800" w:rsidRDefault="00117800" w:rsidP="00117800">
      <w:pPr>
        <w:pStyle w:val="NoSpacing"/>
      </w:pPr>
      <w:r w:rsidRPr="00117800">
        <w:rPr>
          <w:b/>
          <w:bCs/>
        </w:rPr>
        <w:t xml:space="preserve">7.1 </w:t>
      </w:r>
    </w:p>
    <w:p w:rsidR="00117800" w:rsidRPr="00117800" w:rsidRDefault="00117800" w:rsidP="00117800">
      <w:pPr>
        <w:pStyle w:val="NoSpacing"/>
      </w:pPr>
      <w:r w:rsidRPr="00117800">
        <w:rPr>
          <w:b/>
          <w:bCs/>
        </w:rPr>
        <w:t xml:space="preserve">Key Transport Scheme </w:t>
      </w:r>
    </w:p>
    <w:p w:rsidR="00117800" w:rsidRPr="00117800" w:rsidRDefault="00117800" w:rsidP="00117800">
      <w:pPr>
        <w:pStyle w:val="NoSpacing"/>
      </w:pPr>
    </w:p>
    <w:p w:rsidR="00117800" w:rsidRPr="00117800" w:rsidRDefault="00117800" w:rsidP="00117800">
      <w:pPr>
        <w:pStyle w:val="NoSpacing"/>
      </w:pPr>
      <w:r w:rsidRPr="00117800">
        <w:t xml:space="preserve">The DLC-based key-transport scheme is as follows: </w:t>
      </w:r>
    </w:p>
    <w:p w:rsidR="00117800" w:rsidRPr="00117800" w:rsidRDefault="00117800" w:rsidP="00117800">
      <w:pPr>
        <w:pStyle w:val="NoSpacing"/>
        <w:numPr>
          <w:ilvl w:val="0"/>
          <w:numId w:val="12"/>
        </w:numPr>
      </w:pPr>
      <w:r w:rsidRPr="00117800">
        <w:lastRenderedPageBreak/>
        <w:t xml:space="preserve">An agreed-upon C(2e, 2s), C(1e, 2s), C(1e, 1s) or C(0e, 2s) key-agreement scheme is used between party U and party V to establish </w:t>
      </w:r>
      <w:proofErr w:type="spellStart"/>
      <w:r w:rsidRPr="000F5EDB">
        <w:rPr>
          <w:i/>
          <w:iCs/>
        </w:rPr>
        <w:t>DerivedKeyingMaterial</w:t>
      </w:r>
      <w:proofErr w:type="spellEnd"/>
      <w:r w:rsidRPr="00117800">
        <w:t xml:space="preserve">, which includes a </w:t>
      </w:r>
      <w:proofErr w:type="spellStart"/>
      <w:r w:rsidRPr="000F5EDB">
        <w:rPr>
          <w:i/>
          <w:iCs/>
        </w:rPr>
        <w:t>KeyWrappingKey</w:t>
      </w:r>
      <w:proofErr w:type="spellEnd"/>
      <w:r w:rsidRPr="000F5EDB">
        <w:rPr>
          <w:i/>
          <w:iCs/>
        </w:rPr>
        <w:t xml:space="preserve"> </w:t>
      </w:r>
      <w:r w:rsidRPr="00117800">
        <w:t>that will subsequently be used by party U for key-transport. Key</w:t>
      </w:r>
      <w:r>
        <w:t xml:space="preserve"> </w:t>
      </w:r>
      <w:r w:rsidRPr="00117800">
        <w:t xml:space="preserve">confirmation (as specified in Section 5.9 and Section 6) may optionally be incorporated in the key-agreement scheme to provide assurance that the </w:t>
      </w:r>
      <w:proofErr w:type="spellStart"/>
      <w:r w:rsidRPr="000F5EDB">
        <w:rPr>
          <w:i/>
          <w:iCs/>
        </w:rPr>
        <w:t>DerivedKeyingMaterial</w:t>
      </w:r>
      <w:proofErr w:type="spellEnd"/>
      <w:r w:rsidRPr="000F5EDB">
        <w:rPr>
          <w:i/>
          <w:iCs/>
        </w:rPr>
        <w:t xml:space="preserve"> </w:t>
      </w:r>
      <w:r w:rsidRPr="00117800">
        <w:t xml:space="preserve">is the same for both parties. </w:t>
      </w:r>
    </w:p>
    <w:p w:rsidR="00117800" w:rsidRPr="00117800" w:rsidRDefault="00117800" w:rsidP="000F5EDB">
      <w:pPr>
        <w:pStyle w:val="NoSpacing"/>
        <w:numPr>
          <w:ilvl w:val="0"/>
          <w:numId w:val="12"/>
        </w:numPr>
      </w:pPr>
      <w:r w:rsidRPr="00117800">
        <w:t xml:space="preserve">Party U obtains the </w:t>
      </w:r>
      <w:proofErr w:type="spellStart"/>
      <w:r w:rsidRPr="00117800">
        <w:rPr>
          <w:i/>
          <w:iCs/>
        </w:rPr>
        <w:t>KeyWrappingKey</w:t>
      </w:r>
      <w:proofErr w:type="spellEnd"/>
      <w:r w:rsidRPr="00117800">
        <w:rPr>
          <w:i/>
          <w:iCs/>
        </w:rPr>
        <w:t xml:space="preserve"> </w:t>
      </w:r>
      <w:r w:rsidRPr="00117800">
        <w:t xml:space="preserve">from the </w:t>
      </w:r>
      <w:proofErr w:type="spellStart"/>
      <w:r w:rsidRPr="00117800">
        <w:rPr>
          <w:i/>
          <w:iCs/>
        </w:rPr>
        <w:t>DerivedKeyingMaterial</w:t>
      </w:r>
      <w:proofErr w:type="spellEnd"/>
      <w:r w:rsidRPr="00117800">
        <w:t xml:space="preserve">. </w:t>
      </w:r>
    </w:p>
    <w:p w:rsidR="00117800" w:rsidRPr="00117800" w:rsidRDefault="00117800" w:rsidP="000F5EDB">
      <w:pPr>
        <w:pStyle w:val="NoSpacing"/>
        <w:numPr>
          <w:ilvl w:val="0"/>
          <w:numId w:val="12"/>
        </w:numPr>
      </w:pPr>
      <w:r w:rsidRPr="00117800">
        <w:t xml:space="preserve">Party U selects secret keying material, </w:t>
      </w:r>
      <w:proofErr w:type="spellStart"/>
      <w:r w:rsidRPr="00117800">
        <w:rPr>
          <w:i/>
          <w:iCs/>
        </w:rPr>
        <w:t>TransportedKeyingMaterial</w:t>
      </w:r>
      <w:proofErr w:type="spellEnd"/>
      <w:r w:rsidRPr="00117800">
        <w:t xml:space="preserve">, to transport to the receiver. If key confirmation is to be performed following key-transport, this </w:t>
      </w:r>
      <w:proofErr w:type="spellStart"/>
      <w:r w:rsidRPr="00117800">
        <w:rPr>
          <w:i/>
          <w:iCs/>
        </w:rPr>
        <w:t>TransportedKeyingMaterial</w:t>
      </w:r>
      <w:proofErr w:type="spellEnd"/>
      <w:r w:rsidRPr="00117800">
        <w:rPr>
          <w:i/>
          <w:iCs/>
        </w:rPr>
        <w:t xml:space="preserve"> </w:t>
      </w:r>
      <w:r w:rsidRPr="00117800">
        <w:rPr>
          <w:b/>
          <w:bCs/>
        </w:rPr>
        <w:t xml:space="preserve">shall </w:t>
      </w:r>
      <w:r w:rsidRPr="00117800">
        <w:t xml:space="preserve">include a fresh (i.e., new) </w:t>
      </w:r>
      <w:proofErr w:type="spellStart"/>
      <w:r w:rsidRPr="00117800">
        <w:rPr>
          <w:i/>
          <w:iCs/>
        </w:rPr>
        <w:t>MacKey</w:t>
      </w:r>
      <w:proofErr w:type="spellEnd"/>
      <w:r w:rsidRPr="00117800">
        <w:rPr>
          <w:i/>
          <w:iCs/>
        </w:rPr>
        <w:t xml:space="preserve"> </w:t>
      </w:r>
      <w:r w:rsidRPr="00117800">
        <w:t xml:space="preserve">to be used for key confirmation and the </w:t>
      </w:r>
      <w:proofErr w:type="spellStart"/>
      <w:r w:rsidRPr="00117800">
        <w:rPr>
          <w:i/>
          <w:iCs/>
        </w:rPr>
        <w:t>KeyData</w:t>
      </w:r>
      <w:proofErr w:type="spellEnd"/>
      <w:r w:rsidRPr="00117800">
        <w:rPr>
          <w:i/>
          <w:iCs/>
        </w:rPr>
        <w:t xml:space="preserve"> </w:t>
      </w:r>
      <w:r w:rsidRPr="00117800">
        <w:t xml:space="preserve">to be used subsequent to key transport (see Section 7.2). </w:t>
      </w:r>
    </w:p>
    <w:p w:rsidR="00117800" w:rsidRPr="00117800" w:rsidRDefault="00117800" w:rsidP="000F5EDB">
      <w:pPr>
        <w:pStyle w:val="NoSpacing"/>
        <w:numPr>
          <w:ilvl w:val="0"/>
          <w:numId w:val="12"/>
        </w:numPr>
      </w:pPr>
      <w:r w:rsidRPr="00117800">
        <w:t xml:space="preserve">Party U calculates </w:t>
      </w:r>
      <w:proofErr w:type="spellStart"/>
      <w:r w:rsidRPr="00117800">
        <w:rPr>
          <w:i/>
          <w:iCs/>
        </w:rPr>
        <w:t>WrappedKeyingMaterial</w:t>
      </w:r>
      <w:proofErr w:type="spellEnd"/>
      <w:r w:rsidRPr="00117800">
        <w:rPr>
          <w:i/>
          <w:iCs/>
        </w:rPr>
        <w:t xml:space="preserve"> </w:t>
      </w:r>
      <w:r w:rsidRPr="00117800">
        <w:t xml:space="preserve">= </w:t>
      </w:r>
      <w:proofErr w:type="spellStart"/>
      <w:proofErr w:type="gramStart"/>
      <w:r w:rsidRPr="00117800">
        <w:t>KeyWrap</w:t>
      </w:r>
      <w:proofErr w:type="spellEnd"/>
      <w:r w:rsidRPr="00117800">
        <w:t>(</w:t>
      </w:r>
      <w:proofErr w:type="spellStart"/>
      <w:proofErr w:type="gramEnd"/>
      <w:r w:rsidRPr="00117800">
        <w:rPr>
          <w:i/>
          <w:iCs/>
        </w:rPr>
        <w:t>KeyWrappingKey</w:t>
      </w:r>
      <w:proofErr w:type="spellEnd"/>
      <w:r w:rsidRPr="00117800">
        <w:rPr>
          <w:i/>
          <w:iCs/>
        </w:rPr>
        <w:t xml:space="preserve">, </w:t>
      </w:r>
      <w:proofErr w:type="spellStart"/>
      <w:r w:rsidRPr="00117800">
        <w:rPr>
          <w:i/>
          <w:iCs/>
        </w:rPr>
        <w:t>TransportedKeyingMaterial</w:t>
      </w:r>
      <w:proofErr w:type="spellEnd"/>
      <w:r w:rsidRPr="00117800">
        <w:t xml:space="preserve">) using </w:t>
      </w:r>
      <w:proofErr w:type="spellStart"/>
      <w:r w:rsidRPr="00117800">
        <w:t>KeyWrap</w:t>
      </w:r>
      <w:proofErr w:type="spellEnd"/>
      <w:r w:rsidRPr="00117800">
        <w:t xml:space="preserve">( ), an </w:t>
      </w:r>
      <w:r w:rsidRPr="00117800">
        <w:rPr>
          <w:b/>
          <w:bCs/>
        </w:rPr>
        <w:t xml:space="preserve">approved </w:t>
      </w:r>
      <w:r w:rsidRPr="00117800">
        <w:t xml:space="preserve">key wrapping algorithm. </w:t>
      </w:r>
    </w:p>
    <w:p w:rsidR="00117800" w:rsidRPr="00117800" w:rsidRDefault="00117800" w:rsidP="000F5EDB">
      <w:pPr>
        <w:pStyle w:val="NoSpacing"/>
        <w:numPr>
          <w:ilvl w:val="0"/>
          <w:numId w:val="12"/>
        </w:numPr>
      </w:pPr>
      <w:r w:rsidRPr="00117800">
        <w:t xml:space="preserve">Party U sends </w:t>
      </w:r>
      <w:proofErr w:type="spellStart"/>
      <w:r w:rsidRPr="00117800">
        <w:rPr>
          <w:i/>
          <w:iCs/>
        </w:rPr>
        <w:t>WrappedKeyingMaterial</w:t>
      </w:r>
      <w:proofErr w:type="spellEnd"/>
      <w:r w:rsidRPr="00117800">
        <w:rPr>
          <w:i/>
          <w:iCs/>
        </w:rPr>
        <w:t xml:space="preserve"> </w:t>
      </w:r>
      <w:r w:rsidRPr="00117800">
        <w:t xml:space="preserve">to party V. </w:t>
      </w:r>
    </w:p>
    <w:p w:rsidR="00117800" w:rsidRPr="00117800" w:rsidRDefault="00117800" w:rsidP="000F5EDB">
      <w:pPr>
        <w:pStyle w:val="NoSpacing"/>
        <w:numPr>
          <w:ilvl w:val="0"/>
          <w:numId w:val="12"/>
        </w:numPr>
      </w:pPr>
      <w:r w:rsidRPr="00117800">
        <w:t xml:space="preserve">Party V receives </w:t>
      </w:r>
      <w:proofErr w:type="spellStart"/>
      <w:r w:rsidRPr="00117800">
        <w:rPr>
          <w:i/>
          <w:iCs/>
        </w:rPr>
        <w:t>WrappedKeyingMaterial</w:t>
      </w:r>
      <w:proofErr w:type="spellEnd"/>
      <w:r w:rsidRPr="00117800">
        <w:rPr>
          <w:i/>
          <w:iCs/>
        </w:rPr>
        <w:t xml:space="preserve"> </w:t>
      </w:r>
      <w:r w:rsidRPr="00117800">
        <w:t xml:space="preserve">from party U. </w:t>
      </w:r>
    </w:p>
    <w:p w:rsidR="00117800" w:rsidRPr="00117800" w:rsidRDefault="00117800" w:rsidP="000F5EDB">
      <w:pPr>
        <w:pStyle w:val="NoSpacing"/>
        <w:numPr>
          <w:ilvl w:val="0"/>
          <w:numId w:val="12"/>
        </w:numPr>
      </w:pPr>
      <w:r w:rsidRPr="00117800">
        <w:t xml:space="preserve">Party V obtains the </w:t>
      </w:r>
      <w:proofErr w:type="spellStart"/>
      <w:r w:rsidRPr="00117800">
        <w:rPr>
          <w:i/>
          <w:iCs/>
        </w:rPr>
        <w:t>KeyWrappingKey</w:t>
      </w:r>
      <w:proofErr w:type="spellEnd"/>
      <w:r w:rsidRPr="00117800">
        <w:rPr>
          <w:i/>
          <w:iCs/>
        </w:rPr>
        <w:t xml:space="preserve"> </w:t>
      </w:r>
      <w:r w:rsidRPr="00117800">
        <w:t xml:space="preserve">from the </w:t>
      </w:r>
      <w:proofErr w:type="spellStart"/>
      <w:r w:rsidRPr="00117800">
        <w:rPr>
          <w:i/>
          <w:iCs/>
        </w:rPr>
        <w:t>DerivedKeyingMaterial</w:t>
      </w:r>
      <w:proofErr w:type="spellEnd"/>
      <w:r w:rsidRPr="00117800">
        <w:t xml:space="preserve">. </w:t>
      </w:r>
    </w:p>
    <w:p w:rsidR="00117800" w:rsidRPr="00117800" w:rsidRDefault="00117800" w:rsidP="000F5EDB">
      <w:pPr>
        <w:pStyle w:val="NoSpacing"/>
        <w:numPr>
          <w:ilvl w:val="0"/>
          <w:numId w:val="12"/>
        </w:numPr>
      </w:pPr>
      <w:r w:rsidRPr="00117800">
        <w:t xml:space="preserve">Party V calculates </w:t>
      </w:r>
      <w:proofErr w:type="spellStart"/>
      <w:r w:rsidRPr="00117800">
        <w:rPr>
          <w:i/>
          <w:iCs/>
        </w:rPr>
        <w:t>TransportedKeyingMaterial</w:t>
      </w:r>
      <w:proofErr w:type="spellEnd"/>
      <w:r w:rsidRPr="00117800">
        <w:rPr>
          <w:i/>
          <w:iCs/>
        </w:rPr>
        <w:t xml:space="preserve"> </w:t>
      </w:r>
      <w:r w:rsidRPr="00117800">
        <w:t xml:space="preserve">= </w:t>
      </w:r>
      <w:proofErr w:type="spellStart"/>
      <w:proofErr w:type="gramStart"/>
      <w:r w:rsidRPr="00117800">
        <w:t>KeyUnwrap</w:t>
      </w:r>
      <w:proofErr w:type="spellEnd"/>
      <w:r w:rsidRPr="00117800">
        <w:t>(</w:t>
      </w:r>
      <w:proofErr w:type="spellStart"/>
      <w:proofErr w:type="gramEnd"/>
      <w:r w:rsidRPr="00117800">
        <w:rPr>
          <w:i/>
          <w:iCs/>
        </w:rPr>
        <w:t>KeyWrappingKey</w:t>
      </w:r>
      <w:proofErr w:type="spellEnd"/>
      <w:r w:rsidRPr="00117800">
        <w:rPr>
          <w:i/>
          <w:iCs/>
        </w:rPr>
        <w:t xml:space="preserve">, </w:t>
      </w:r>
      <w:proofErr w:type="spellStart"/>
      <w:r w:rsidRPr="00117800">
        <w:rPr>
          <w:i/>
          <w:iCs/>
        </w:rPr>
        <w:t>WrappedKeyingMaterial</w:t>
      </w:r>
      <w:proofErr w:type="spellEnd"/>
      <w:r w:rsidRPr="00117800">
        <w:t xml:space="preserve">) using </w:t>
      </w:r>
      <w:proofErr w:type="spellStart"/>
      <w:r w:rsidRPr="00117800">
        <w:t>KeyUnwrap</w:t>
      </w:r>
      <w:proofErr w:type="spellEnd"/>
      <w:r w:rsidRPr="00117800">
        <w:t xml:space="preserve">( ), the key-unwrapping algorithm that corresponds to </w:t>
      </w:r>
      <w:proofErr w:type="spellStart"/>
      <w:r w:rsidRPr="00117800">
        <w:t>KeyWrap</w:t>
      </w:r>
      <w:proofErr w:type="spellEnd"/>
      <w:r w:rsidRPr="00117800">
        <w:t xml:space="preserve">( ). </w:t>
      </w:r>
    </w:p>
    <w:p w:rsidR="00117800" w:rsidRPr="00117800" w:rsidRDefault="00117800" w:rsidP="000F5EDB">
      <w:pPr>
        <w:pStyle w:val="NoSpacing"/>
        <w:numPr>
          <w:ilvl w:val="0"/>
          <w:numId w:val="12"/>
        </w:numPr>
      </w:pPr>
      <w:r w:rsidRPr="00117800">
        <w:t xml:space="preserve">If key confirmation is to be performed subsequent to key transport to provide assurance to party U that the correct </w:t>
      </w:r>
      <w:proofErr w:type="spellStart"/>
      <w:r w:rsidRPr="00117800">
        <w:rPr>
          <w:i/>
          <w:iCs/>
        </w:rPr>
        <w:t>TransportedKeyingMaterial</w:t>
      </w:r>
      <w:proofErr w:type="spellEnd"/>
      <w:r w:rsidRPr="00117800">
        <w:rPr>
          <w:i/>
          <w:iCs/>
        </w:rPr>
        <w:t xml:space="preserve"> </w:t>
      </w:r>
      <w:r w:rsidRPr="00117800">
        <w:t xml:space="preserve">has been obtained by party V, then both parties U and V </w:t>
      </w:r>
      <w:r w:rsidRPr="00117800">
        <w:rPr>
          <w:b/>
          <w:bCs/>
        </w:rPr>
        <w:t xml:space="preserve">shall </w:t>
      </w:r>
      <w:r w:rsidRPr="00117800">
        <w:t xml:space="preserve">proceed as specified in Section 7.2. </w:t>
      </w:r>
    </w:p>
    <w:p w:rsidR="00117800" w:rsidRPr="00117800" w:rsidRDefault="00117800" w:rsidP="00117800">
      <w:pPr>
        <w:pStyle w:val="NoSpacing"/>
        <w:ind w:left="360"/>
      </w:pPr>
      <w:r w:rsidRPr="00117800">
        <w:t xml:space="preserve">Note that if the key-agreement scheme used in Step 1 is such that party V does not contribute an ephemeral key pair to the calculation of the shared secret (that is, a </w:t>
      </w:r>
      <w:proofErr w:type="gramStart"/>
      <w:r w:rsidRPr="00117800">
        <w:t>C(</w:t>
      </w:r>
      <w:proofErr w:type="gramEnd"/>
      <w:r w:rsidRPr="00117800">
        <w:t xml:space="preserve">1e, 2s), C(1e, 1s), or C(0e, 2s) scheme has been used) and key confirmation is not included in the key-agreement scheme, then Steps 1 through 5 can be performed by party U without direct involvement of party V. This can be useful in a store-and-forward environment, such as e-mail. </w:t>
      </w:r>
    </w:p>
    <w:p w:rsidR="00117800" w:rsidRDefault="00117800" w:rsidP="00117800">
      <w:pPr>
        <w:pStyle w:val="NoSpacing"/>
        <w:ind w:left="360"/>
      </w:pPr>
      <w:r w:rsidRPr="00117800">
        <w:t xml:space="preserve">Key transport schemes can be used in broadcast scenarios. In a broadcast scenario, an exception is made to the rule in this Recommendation that ephemeral keys </w:t>
      </w:r>
      <w:r w:rsidRPr="00117800">
        <w:rPr>
          <w:b/>
          <w:bCs/>
        </w:rPr>
        <w:t xml:space="preserve">shall not </w:t>
      </w:r>
      <w:r w:rsidRPr="00117800">
        <w:t>be reused (see Section 5.6.3.3). That is, party U may use the same ephemeral key pair in step 1 above in multiple instances of DLC-based key-agreement (employing the same scheme) if the same secret keying material is being transported to multiple entities for use following key transport</w:t>
      </w:r>
      <w:r w:rsidRPr="00117800">
        <w:rPr>
          <w:vertAlign w:val="superscript"/>
        </w:rPr>
        <w:t>10</w:t>
      </w:r>
      <w:r w:rsidRPr="00117800">
        <w:t>, and if all these instances of key transport occur “simultaneously” (or within a short period of time). However, the security properties of the key-establishment scheme may be affected by reusing the ephemeral key in this manner.</w:t>
      </w:r>
    </w:p>
    <w:p w:rsidR="000F5EDB" w:rsidRPr="000F5EDB" w:rsidRDefault="000F5EDB" w:rsidP="000F5EDB">
      <w:pPr>
        <w:pStyle w:val="NoSpacing"/>
        <w:ind w:left="360"/>
      </w:pPr>
    </w:p>
    <w:p w:rsidR="000F5EDB" w:rsidRPr="000F5EDB" w:rsidRDefault="000F5EDB" w:rsidP="000F5EDB">
      <w:pPr>
        <w:pStyle w:val="NoSpacing"/>
        <w:ind w:left="360"/>
      </w:pPr>
      <w:r w:rsidRPr="000F5EDB">
        <w:rPr>
          <w:b/>
          <w:bCs/>
        </w:rPr>
        <w:t xml:space="preserve">7.2 Key Confirmation for Transported Keying Material </w:t>
      </w:r>
    </w:p>
    <w:p w:rsidR="000F5EDB" w:rsidRPr="000F5EDB" w:rsidRDefault="000F5EDB" w:rsidP="000F5EDB">
      <w:pPr>
        <w:pStyle w:val="NoSpacing"/>
        <w:ind w:left="360"/>
      </w:pPr>
    </w:p>
    <w:p w:rsidR="000F5EDB" w:rsidRPr="000F5EDB" w:rsidRDefault="000F5EDB" w:rsidP="000F5EDB">
      <w:pPr>
        <w:pStyle w:val="NoSpacing"/>
        <w:ind w:left="360"/>
      </w:pPr>
      <w:r w:rsidRPr="000F5EDB">
        <w:t xml:space="preserve">If key confirmation is to be provided in compliance with this Recommendation following the transport of keying material (as specified in Section 7.1), party U </w:t>
      </w:r>
      <w:r w:rsidRPr="000F5EDB">
        <w:rPr>
          <w:b/>
          <w:bCs/>
        </w:rPr>
        <w:t xml:space="preserve">shall </w:t>
      </w:r>
      <w:r w:rsidRPr="000F5EDB">
        <w:t xml:space="preserve">generate a fresh </w:t>
      </w:r>
      <w:proofErr w:type="spellStart"/>
      <w:r w:rsidRPr="000F5EDB">
        <w:rPr>
          <w:i/>
          <w:iCs/>
        </w:rPr>
        <w:t>MacKey</w:t>
      </w:r>
      <w:proofErr w:type="spellEnd"/>
      <w:r w:rsidRPr="000F5EDB">
        <w:rPr>
          <w:i/>
          <w:iCs/>
        </w:rPr>
        <w:t xml:space="preserve"> </w:t>
      </w:r>
      <w:r w:rsidRPr="000F5EDB">
        <w:t xml:space="preserve">and include it as part of the </w:t>
      </w:r>
      <w:proofErr w:type="spellStart"/>
      <w:r w:rsidRPr="000F5EDB">
        <w:rPr>
          <w:i/>
          <w:iCs/>
        </w:rPr>
        <w:t>TransportedKeyingMaterial</w:t>
      </w:r>
      <w:proofErr w:type="spellEnd"/>
      <w:r w:rsidRPr="000F5EDB">
        <w:rPr>
          <w:i/>
          <w:iCs/>
        </w:rPr>
        <w:t xml:space="preserve"> </w:t>
      </w:r>
      <w:r w:rsidRPr="000F5EDB">
        <w:t xml:space="preserve">to be transported (see Section 7.1). The transported </w:t>
      </w:r>
      <w:proofErr w:type="spellStart"/>
      <w:r w:rsidRPr="000F5EDB">
        <w:rPr>
          <w:i/>
          <w:iCs/>
        </w:rPr>
        <w:t>MacKey</w:t>
      </w:r>
      <w:proofErr w:type="spellEnd"/>
      <w:r w:rsidRPr="000F5EDB">
        <w:rPr>
          <w:i/>
          <w:iCs/>
        </w:rPr>
        <w:t xml:space="preserve"> </w:t>
      </w:r>
      <w:r w:rsidRPr="000F5EDB">
        <w:rPr>
          <w:b/>
          <w:bCs/>
        </w:rPr>
        <w:t xml:space="preserve">shall </w:t>
      </w:r>
      <w:r w:rsidRPr="000F5EDB">
        <w:t xml:space="preserve">be used for the computation and verification of the </w:t>
      </w:r>
      <w:proofErr w:type="spellStart"/>
      <w:r w:rsidRPr="000F5EDB">
        <w:rPr>
          <w:i/>
          <w:iCs/>
        </w:rPr>
        <w:t>MacTag</w:t>
      </w:r>
      <w:proofErr w:type="spellEnd"/>
      <w:r w:rsidRPr="000F5EDB">
        <w:rPr>
          <w:i/>
          <w:iCs/>
        </w:rPr>
        <w:t xml:space="preserve"> </w:t>
      </w:r>
      <w:r w:rsidRPr="000F5EDB">
        <w:t xml:space="preserve">provided by party V to party U. </w:t>
      </w:r>
    </w:p>
    <w:p w:rsidR="000F5EDB" w:rsidRPr="000F5EDB" w:rsidRDefault="000F5EDB" w:rsidP="000F5EDB">
      <w:pPr>
        <w:pStyle w:val="NoSpacing"/>
        <w:ind w:left="360"/>
      </w:pPr>
      <w:r w:rsidRPr="000F5EDB">
        <w:lastRenderedPageBreak/>
        <w:t xml:space="preserve">For each instance of key confirmation following key transport, this </w:t>
      </w:r>
      <w:proofErr w:type="spellStart"/>
      <w:r w:rsidRPr="000F5EDB">
        <w:rPr>
          <w:i/>
          <w:iCs/>
        </w:rPr>
        <w:t>MacKey</w:t>
      </w:r>
      <w:proofErr w:type="spellEnd"/>
      <w:r w:rsidRPr="000F5EDB">
        <w:rPr>
          <w:i/>
          <w:iCs/>
        </w:rPr>
        <w:t xml:space="preserve"> </w:t>
      </w:r>
      <w:r w:rsidRPr="000F5EDB">
        <w:rPr>
          <w:b/>
          <w:bCs/>
        </w:rPr>
        <w:t xml:space="preserve">shall </w:t>
      </w:r>
      <w:r w:rsidRPr="000F5EDB">
        <w:t xml:space="preserve">be generated anew using an </w:t>
      </w:r>
      <w:r w:rsidRPr="000F5EDB">
        <w:rPr>
          <w:b/>
          <w:bCs/>
        </w:rPr>
        <w:t xml:space="preserve">approved </w:t>
      </w:r>
      <w:r w:rsidRPr="000F5EDB">
        <w:t xml:space="preserve">random bit generator that is instantiated at or above the security strength required for the key establishment transaction. In broadcast scenarios, a different </w:t>
      </w:r>
      <w:proofErr w:type="spellStart"/>
      <w:r w:rsidRPr="000F5EDB">
        <w:rPr>
          <w:i/>
          <w:iCs/>
        </w:rPr>
        <w:t>MacKey</w:t>
      </w:r>
      <w:proofErr w:type="spellEnd"/>
      <w:r w:rsidRPr="000F5EDB">
        <w:rPr>
          <w:i/>
          <w:iCs/>
        </w:rPr>
        <w:t xml:space="preserve"> </w:t>
      </w:r>
      <w:r w:rsidRPr="000F5EDB">
        <w:rPr>
          <w:b/>
          <w:bCs/>
        </w:rPr>
        <w:t xml:space="preserve">shall </w:t>
      </w:r>
      <w:r w:rsidRPr="000F5EDB">
        <w:t xml:space="preserve">be included in the </w:t>
      </w:r>
      <w:proofErr w:type="spellStart"/>
      <w:r w:rsidRPr="000F5EDB">
        <w:rPr>
          <w:i/>
          <w:iCs/>
        </w:rPr>
        <w:t>TransportedKeyingMaterial</w:t>
      </w:r>
      <w:proofErr w:type="spellEnd"/>
      <w:r w:rsidRPr="000F5EDB">
        <w:rPr>
          <w:i/>
          <w:iCs/>
        </w:rPr>
        <w:t xml:space="preserve"> </w:t>
      </w:r>
      <w:r w:rsidRPr="000F5EDB">
        <w:t xml:space="preserve">for each key-transport receiver that is expected to provide key confirmation to party U. </w:t>
      </w:r>
    </w:p>
    <w:p w:rsidR="000F5EDB" w:rsidRPr="000F5EDB" w:rsidRDefault="000F5EDB" w:rsidP="000F5EDB">
      <w:pPr>
        <w:pStyle w:val="NoSpacing"/>
        <w:ind w:left="360"/>
      </w:pPr>
      <w:r w:rsidRPr="000F5EDB">
        <w:t xml:space="preserve">The domain parameter set used by the key-agreement scheme employed to establish the key-wrapping key </w:t>
      </w:r>
      <w:r w:rsidRPr="000F5EDB">
        <w:rPr>
          <w:b/>
          <w:bCs/>
        </w:rPr>
        <w:t xml:space="preserve">shall </w:t>
      </w:r>
      <w:r w:rsidRPr="000F5EDB">
        <w:t xml:space="preserve">be used to determine the minimum </w:t>
      </w:r>
      <w:proofErr w:type="spellStart"/>
      <w:r w:rsidRPr="000F5EDB">
        <w:rPr>
          <w:i/>
          <w:iCs/>
        </w:rPr>
        <w:t>MacKey</w:t>
      </w:r>
      <w:proofErr w:type="spellEnd"/>
      <w:r w:rsidRPr="000F5EDB">
        <w:rPr>
          <w:i/>
          <w:iCs/>
        </w:rPr>
        <w:t xml:space="preserve"> </w:t>
      </w:r>
      <w:r w:rsidRPr="000F5EDB">
        <w:t xml:space="preserve">length and the length of the </w:t>
      </w:r>
      <w:proofErr w:type="spellStart"/>
      <w:r w:rsidRPr="000F5EDB">
        <w:rPr>
          <w:i/>
          <w:iCs/>
        </w:rPr>
        <w:t>MacTag</w:t>
      </w:r>
      <w:proofErr w:type="spellEnd"/>
      <w:r w:rsidRPr="000F5EDB">
        <w:t xml:space="preserve">, as specified in Tables 8 and 9 in Section 5.9.3. </w:t>
      </w:r>
    </w:p>
    <w:p w:rsidR="000F5EDB" w:rsidRPr="000F5EDB" w:rsidRDefault="000F5EDB" w:rsidP="000F5EDB">
      <w:pPr>
        <w:pStyle w:val="NoSpacing"/>
        <w:ind w:left="360"/>
      </w:pPr>
      <w:r w:rsidRPr="000F5EDB">
        <w:t xml:space="preserve">The transported keying material </w:t>
      </w:r>
      <w:r w:rsidRPr="000F5EDB">
        <w:rPr>
          <w:b/>
          <w:bCs/>
        </w:rPr>
        <w:t xml:space="preserve">shall </w:t>
      </w:r>
      <w:r w:rsidRPr="000F5EDB">
        <w:t xml:space="preserve">be formatted as follows: </w:t>
      </w:r>
    </w:p>
    <w:p w:rsidR="000F5EDB" w:rsidRPr="000F5EDB" w:rsidRDefault="000F5EDB" w:rsidP="000F5EDB">
      <w:pPr>
        <w:pStyle w:val="NoSpacing"/>
        <w:ind w:left="360"/>
      </w:pPr>
      <w:proofErr w:type="spellStart"/>
      <w:r w:rsidRPr="000F5EDB">
        <w:rPr>
          <w:i/>
          <w:iCs/>
        </w:rPr>
        <w:t>TranportedKeyingMaterial</w:t>
      </w:r>
      <w:proofErr w:type="spellEnd"/>
      <w:r w:rsidRPr="000F5EDB">
        <w:rPr>
          <w:i/>
          <w:iCs/>
        </w:rPr>
        <w:t xml:space="preserve"> </w:t>
      </w:r>
      <w:r w:rsidRPr="000F5EDB">
        <w:t xml:space="preserve">= </w:t>
      </w:r>
      <w:proofErr w:type="spellStart"/>
      <w:r w:rsidRPr="000F5EDB">
        <w:rPr>
          <w:i/>
          <w:iCs/>
        </w:rPr>
        <w:t>MacKey</w:t>
      </w:r>
      <w:proofErr w:type="spellEnd"/>
      <w:r w:rsidRPr="000F5EDB">
        <w:rPr>
          <w:i/>
          <w:iCs/>
        </w:rPr>
        <w:t xml:space="preserve"> </w:t>
      </w:r>
      <w:r w:rsidRPr="000F5EDB">
        <w:t xml:space="preserve">|| </w:t>
      </w:r>
      <w:proofErr w:type="spellStart"/>
      <w:r w:rsidRPr="000F5EDB">
        <w:rPr>
          <w:i/>
          <w:iCs/>
        </w:rPr>
        <w:t>KeyData</w:t>
      </w:r>
      <w:proofErr w:type="spellEnd"/>
      <w:r w:rsidRPr="000F5EDB">
        <w:t xml:space="preserve">. </w:t>
      </w:r>
    </w:p>
    <w:p w:rsidR="000F5EDB" w:rsidRPr="000F5EDB" w:rsidRDefault="000F5EDB" w:rsidP="000F5EDB">
      <w:pPr>
        <w:pStyle w:val="NoSpacing"/>
        <w:ind w:left="360"/>
      </w:pPr>
      <w:r w:rsidRPr="000F5EDB">
        <w:t xml:space="preserve">The </w:t>
      </w:r>
      <w:proofErr w:type="spellStart"/>
      <w:r w:rsidRPr="000F5EDB">
        <w:rPr>
          <w:i/>
          <w:iCs/>
        </w:rPr>
        <w:t>KeyData</w:t>
      </w:r>
      <w:proofErr w:type="spellEnd"/>
      <w:r w:rsidRPr="000F5EDB">
        <w:rPr>
          <w:i/>
          <w:iCs/>
        </w:rPr>
        <w:t xml:space="preserve"> </w:t>
      </w:r>
      <w:r w:rsidRPr="000F5EDB">
        <w:t xml:space="preserve">may be null, or may contain keying material to be used subsequent to key transport. The </w:t>
      </w:r>
      <w:proofErr w:type="spellStart"/>
      <w:r w:rsidRPr="000F5EDB">
        <w:rPr>
          <w:i/>
          <w:iCs/>
        </w:rPr>
        <w:t>MacKey</w:t>
      </w:r>
      <w:proofErr w:type="spellEnd"/>
      <w:r w:rsidRPr="000F5EDB">
        <w:rPr>
          <w:i/>
          <w:iCs/>
        </w:rPr>
        <w:t xml:space="preserve"> </w:t>
      </w:r>
      <w:r w:rsidRPr="000F5EDB">
        <w:rPr>
          <w:b/>
          <w:bCs/>
        </w:rPr>
        <w:t xml:space="preserve">shall </w:t>
      </w:r>
      <w:r w:rsidRPr="000F5EDB">
        <w:t xml:space="preserve">be used during key confirmation and then immediately destroyed by both party U and party V. </w:t>
      </w:r>
    </w:p>
    <w:p w:rsidR="000F5EDB" w:rsidRPr="000F5EDB" w:rsidRDefault="000F5EDB" w:rsidP="000F5EDB">
      <w:pPr>
        <w:pStyle w:val="NoSpacing"/>
        <w:ind w:left="360"/>
      </w:pPr>
      <w:r w:rsidRPr="000F5EDB">
        <w:t xml:space="preserve">The </w:t>
      </w:r>
      <w:proofErr w:type="spellStart"/>
      <w:r w:rsidRPr="000F5EDB">
        <w:rPr>
          <w:i/>
          <w:iCs/>
        </w:rPr>
        <w:t>MacKey</w:t>
      </w:r>
      <w:proofErr w:type="spellEnd"/>
      <w:r w:rsidRPr="000F5EDB">
        <w:rPr>
          <w:i/>
          <w:iCs/>
        </w:rPr>
        <w:t xml:space="preserve"> </w:t>
      </w:r>
      <w:r w:rsidRPr="000F5EDB">
        <w:t xml:space="preserve">portion of the transported keying material and an </w:t>
      </w:r>
      <w:r w:rsidRPr="000F5EDB">
        <w:rPr>
          <w:b/>
          <w:bCs/>
        </w:rPr>
        <w:t xml:space="preserve">approved </w:t>
      </w:r>
      <w:r w:rsidRPr="000F5EDB">
        <w:t xml:space="preserve">MAC algorithm (see Sections 5.2 and 5.9.3) are used by each party to compute a </w:t>
      </w:r>
      <w:proofErr w:type="spellStart"/>
      <w:r w:rsidRPr="000F5EDB">
        <w:rPr>
          <w:i/>
          <w:iCs/>
        </w:rPr>
        <w:t>MacTag</w:t>
      </w:r>
      <w:proofErr w:type="spellEnd"/>
      <w:r w:rsidRPr="000F5EDB">
        <w:rPr>
          <w:i/>
          <w:iCs/>
        </w:rPr>
        <w:t xml:space="preserve"> </w:t>
      </w:r>
      <w:r w:rsidRPr="000F5EDB">
        <w:t xml:space="preserve">(of an appropriate, agreed-upon length) on the </w:t>
      </w:r>
      <w:proofErr w:type="spellStart"/>
      <w:r w:rsidRPr="000F5EDB">
        <w:rPr>
          <w:i/>
          <w:iCs/>
        </w:rPr>
        <w:t>MacData</w:t>
      </w:r>
      <w:proofErr w:type="spellEnd"/>
      <w:r w:rsidRPr="000F5EDB">
        <w:rPr>
          <w:i/>
          <w:iCs/>
        </w:rPr>
        <w:t xml:space="preserve"> </w:t>
      </w:r>
      <w:r w:rsidRPr="000F5EDB">
        <w:t xml:space="preserve">(see Section 5.9.1.1) represented as </w:t>
      </w:r>
    </w:p>
    <w:p w:rsidR="000F5EDB" w:rsidRPr="000F5EDB" w:rsidRDefault="000F5EDB" w:rsidP="000F5EDB">
      <w:pPr>
        <w:pStyle w:val="NoSpacing"/>
        <w:ind w:left="360"/>
      </w:pPr>
      <w:proofErr w:type="spellStart"/>
      <w:r w:rsidRPr="000F5EDB">
        <w:rPr>
          <w:i/>
          <w:iCs/>
        </w:rPr>
        <w:t>MacData</w:t>
      </w:r>
      <w:proofErr w:type="spellEnd"/>
      <w:r w:rsidRPr="000F5EDB">
        <w:rPr>
          <w:i/>
          <w:iCs/>
        </w:rPr>
        <w:t xml:space="preserve"> </w:t>
      </w:r>
      <w:r w:rsidRPr="000F5EDB">
        <w:t xml:space="preserve">= “KC_KT” || </w:t>
      </w:r>
      <w:r w:rsidRPr="000F5EDB">
        <w:rPr>
          <w:i/>
          <w:iCs/>
        </w:rPr>
        <w:t>ID</w:t>
      </w:r>
      <w:r w:rsidRPr="000F5EDB">
        <w:rPr>
          <w:i/>
          <w:iCs/>
          <w:vertAlign w:val="subscript"/>
        </w:rPr>
        <w:t xml:space="preserve">V </w:t>
      </w:r>
      <w:r w:rsidRPr="000F5EDB">
        <w:t xml:space="preserve">|| </w:t>
      </w:r>
      <w:r w:rsidRPr="000F5EDB">
        <w:rPr>
          <w:i/>
          <w:iCs/>
        </w:rPr>
        <w:t>ID</w:t>
      </w:r>
      <w:r w:rsidRPr="000F5EDB">
        <w:rPr>
          <w:i/>
          <w:iCs/>
          <w:vertAlign w:val="subscript"/>
        </w:rPr>
        <w:t xml:space="preserve">U </w:t>
      </w:r>
      <w:r w:rsidRPr="000F5EDB">
        <w:t xml:space="preserve">|| </w:t>
      </w:r>
      <w:proofErr w:type="spellStart"/>
      <w:r w:rsidRPr="000F5EDB">
        <w:rPr>
          <w:i/>
          <w:iCs/>
        </w:rPr>
        <w:t>EphemData</w:t>
      </w:r>
      <w:r w:rsidRPr="000F5EDB">
        <w:rPr>
          <w:i/>
          <w:iCs/>
          <w:vertAlign w:val="subscript"/>
        </w:rPr>
        <w:t>V</w:t>
      </w:r>
      <w:proofErr w:type="spellEnd"/>
      <w:r w:rsidRPr="000F5EDB">
        <w:rPr>
          <w:i/>
          <w:iCs/>
          <w:vertAlign w:val="subscript"/>
        </w:rPr>
        <w:t xml:space="preserve"> </w:t>
      </w:r>
      <w:r w:rsidRPr="000F5EDB">
        <w:t xml:space="preserve">|| </w:t>
      </w:r>
      <w:proofErr w:type="spellStart"/>
      <w:r w:rsidRPr="000F5EDB">
        <w:rPr>
          <w:i/>
          <w:iCs/>
        </w:rPr>
        <w:t>EphemData</w:t>
      </w:r>
      <w:r w:rsidRPr="000F5EDB">
        <w:rPr>
          <w:i/>
          <w:iCs/>
          <w:vertAlign w:val="subscript"/>
        </w:rPr>
        <w:t>U</w:t>
      </w:r>
      <w:proofErr w:type="spellEnd"/>
      <w:r w:rsidRPr="000F5EDB">
        <w:rPr>
          <w:i/>
          <w:iCs/>
          <w:vertAlign w:val="subscript"/>
        </w:rPr>
        <w:t xml:space="preserve"> </w:t>
      </w:r>
      <w:r w:rsidRPr="000F5EDB">
        <w:t xml:space="preserve">|| </w:t>
      </w:r>
      <w:proofErr w:type="spellStart"/>
      <w:r w:rsidRPr="000F5EDB">
        <w:rPr>
          <w:i/>
          <w:iCs/>
        </w:rPr>
        <w:t>WrappedKeyingMaterial</w:t>
      </w:r>
      <w:proofErr w:type="spellEnd"/>
      <w:r w:rsidRPr="000F5EDB">
        <w:rPr>
          <w:i/>
          <w:iCs/>
        </w:rPr>
        <w:t xml:space="preserve"> </w:t>
      </w:r>
      <w:proofErr w:type="gramStart"/>
      <w:r w:rsidRPr="000F5EDB">
        <w:t>{ |</w:t>
      </w:r>
      <w:proofErr w:type="gramEnd"/>
      <w:r w:rsidRPr="000F5EDB">
        <w:t xml:space="preserve">| </w:t>
      </w:r>
      <w:r w:rsidRPr="000F5EDB">
        <w:rPr>
          <w:i/>
          <w:iCs/>
        </w:rPr>
        <w:t>Text</w:t>
      </w:r>
      <w:r w:rsidRPr="000F5EDB">
        <w:t xml:space="preserve">}, </w:t>
      </w:r>
    </w:p>
    <w:p w:rsidR="000F5EDB" w:rsidRPr="000F5EDB" w:rsidRDefault="000F5EDB" w:rsidP="000F5EDB">
      <w:pPr>
        <w:pStyle w:val="NoSpacing"/>
        <w:ind w:left="360"/>
      </w:pPr>
      <w:proofErr w:type="gramStart"/>
      <w:r w:rsidRPr="000F5EDB">
        <w:t>where</w:t>
      </w:r>
      <w:proofErr w:type="gramEnd"/>
      <w:r w:rsidRPr="000F5EDB">
        <w:t xml:space="preserve"> </w:t>
      </w:r>
      <w:r w:rsidRPr="000F5EDB">
        <w:rPr>
          <w:i/>
          <w:iCs/>
        </w:rPr>
        <w:t>ID</w:t>
      </w:r>
      <w:r w:rsidRPr="000F5EDB">
        <w:rPr>
          <w:i/>
          <w:iCs/>
          <w:vertAlign w:val="subscript"/>
        </w:rPr>
        <w:t xml:space="preserve">V </w:t>
      </w:r>
      <w:r w:rsidRPr="000F5EDB">
        <w:t xml:space="preserve">is the identifier associated with party V, and </w:t>
      </w:r>
      <w:r w:rsidRPr="000F5EDB">
        <w:rPr>
          <w:i/>
          <w:iCs/>
        </w:rPr>
        <w:t>ID</w:t>
      </w:r>
      <w:r w:rsidRPr="000F5EDB">
        <w:rPr>
          <w:i/>
          <w:iCs/>
          <w:vertAlign w:val="subscript"/>
        </w:rPr>
        <w:t xml:space="preserve">U </w:t>
      </w:r>
      <w:r w:rsidRPr="000F5EDB">
        <w:t xml:space="preserve">is the identifier associated with party U. These identifiers </w:t>
      </w:r>
      <w:r w:rsidRPr="000F5EDB">
        <w:rPr>
          <w:b/>
          <w:bCs/>
        </w:rPr>
        <w:t xml:space="preserve">shall </w:t>
      </w:r>
      <w:r w:rsidRPr="000F5EDB">
        <w:t xml:space="preserve">be the same as those used to label parties U and V during the key-agreement portion of the key-transport transaction. </w:t>
      </w:r>
      <w:proofErr w:type="spellStart"/>
      <w:r w:rsidRPr="000F5EDB">
        <w:rPr>
          <w:i/>
          <w:iCs/>
        </w:rPr>
        <w:t>EphemData</w:t>
      </w:r>
      <w:r w:rsidRPr="000F5EDB">
        <w:rPr>
          <w:i/>
          <w:iCs/>
          <w:vertAlign w:val="subscript"/>
        </w:rPr>
        <w:t>V</w:t>
      </w:r>
      <w:proofErr w:type="spellEnd"/>
      <w:r w:rsidRPr="000F5EDB">
        <w:rPr>
          <w:i/>
          <w:iCs/>
          <w:vertAlign w:val="subscript"/>
        </w:rPr>
        <w:t xml:space="preserve"> </w:t>
      </w:r>
      <w:r w:rsidRPr="000F5EDB">
        <w:t xml:space="preserve">is the ephemeral public key or nonce contributed by party V during the establishment of the key-wrapping key used for key transport; if no ephemeral data was contributed by party V, </w:t>
      </w:r>
      <w:proofErr w:type="gramStart"/>
      <w:r w:rsidRPr="000F5EDB">
        <w:t>then</w:t>
      </w:r>
      <w:proofErr w:type="gramEnd"/>
      <w:r w:rsidRPr="000F5EDB">
        <w:t xml:space="preserve"> </w:t>
      </w:r>
      <w:r w:rsidRPr="000F5EDB">
        <w:rPr>
          <w:i/>
          <w:iCs/>
        </w:rPr>
        <w:t xml:space="preserve">Null </w:t>
      </w:r>
      <w:r w:rsidRPr="000F5EDB">
        <w:rPr>
          <w:b/>
          <w:bCs/>
        </w:rPr>
        <w:t xml:space="preserve">shall </w:t>
      </w:r>
      <w:r w:rsidRPr="000F5EDB">
        <w:t xml:space="preserve">be used. </w:t>
      </w:r>
      <w:proofErr w:type="spellStart"/>
      <w:r w:rsidRPr="000F5EDB">
        <w:rPr>
          <w:i/>
          <w:iCs/>
        </w:rPr>
        <w:t>EphemData</w:t>
      </w:r>
      <w:r w:rsidRPr="000F5EDB">
        <w:rPr>
          <w:i/>
          <w:iCs/>
          <w:vertAlign w:val="subscript"/>
        </w:rPr>
        <w:t>U</w:t>
      </w:r>
      <w:proofErr w:type="spellEnd"/>
      <w:r w:rsidRPr="000F5EDB">
        <w:rPr>
          <w:i/>
          <w:iCs/>
          <w:vertAlign w:val="subscript"/>
        </w:rPr>
        <w:t xml:space="preserve"> </w:t>
      </w:r>
      <w:r w:rsidRPr="000F5EDB">
        <w:t xml:space="preserve">is the ephemeral public key or nonce that was contributed by party U during the establishment of the key-wrapping key. </w:t>
      </w:r>
      <w:proofErr w:type="spellStart"/>
      <w:r w:rsidRPr="000F5EDB">
        <w:rPr>
          <w:i/>
          <w:iCs/>
        </w:rPr>
        <w:t>WrappedKeyingMaterial</w:t>
      </w:r>
      <w:proofErr w:type="spellEnd"/>
      <w:r w:rsidRPr="000F5EDB">
        <w:rPr>
          <w:i/>
          <w:iCs/>
        </w:rPr>
        <w:t xml:space="preserve"> </w:t>
      </w:r>
      <w:r w:rsidRPr="000F5EDB">
        <w:t xml:space="preserve">is the </w:t>
      </w:r>
      <w:proofErr w:type="spellStart"/>
      <w:r w:rsidRPr="000F5EDB">
        <w:t>ciphertext</w:t>
      </w:r>
      <w:proofErr w:type="spellEnd"/>
      <w:r w:rsidRPr="000F5EDB">
        <w:t xml:space="preserve"> of the keying material that has been transported, and </w:t>
      </w:r>
      <w:r w:rsidRPr="000F5EDB">
        <w:rPr>
          <w:i/>
          <w:iCs/>
        </w:rPr>
        <w:t xml:space="preserve">Text </w:t>
      </w:r>
      <w:r w:rsidRPr="000F5EDB">
        <w:t xml:space="preserve">is an optional bit string that may be used during key-confirmation that is known by both parties. </w:t>
      </w:r>
    </w:p>
    <w:p w:rsidR="000F5EDB" w:rsidRPr="000F5EDB" w:rsidRDefault="000F5EDB" w:rsidP="000F5EDB">
      <w:pPr>
        <w:pStyle w:val="NoSpacing"/>
        <w:ind w:left="360"/>
      </w:pPr>
      <w:r w:rsidRPr="000F5EDB">
        <w:t xml:space="preserve">Party V (the </w:t>
      </w:r>
      <w:proofErr w:type="spellStart"/>
      <w:r w:rsidRPr="000F5EDB">
        <w:rPr>
          <w:i/>
          <w:iCs/>
        </w:rPr>
        <w:t>MacTag</w:t>
      </w:r>
      <w:proofErr w:type="spellEnd"/>
      <w:r w:rsidRPr="000F5EDB">
        <w:rPr>
          <w:i/>
          <w:iCs/>
        </w:rPr>
        <w:t xml:space="preserve"> </w:t>
      </w:r>
      <w:r w:rsidRPr="000F5EDB">
        <w:t xml:space="preserve">sender) computes a </w:t>
      </w:r>
      <w:proofErr w:type="spellStart"/>
      <w:r w:rsidRPr="000F5EDB">
        <w:rPr>
          <w:i/>
          <w:iCs/>
        </w:rPr>
        <w:t>MacTag</w:t>
      </w:r>
      <w:proofErr w:type="spellEnd"/>
      <w:r w:rsidRPr="000F5EDB">
        <w:rPr>
          <w:i/>
          <w:iCs/>
        </w:rPr>
        <w:t xml:space="preserve"> </w:t>
      </w:r>
      <w:r w:rsidRPr="000F5EDB">
        <w:t xml:space="preserve">(using the </w:t>
      </w:r>
      <w:proofErr w:type="spellStart"/>
      <w:r w:rsidRPr="000F5EDB">
        <w:rPr>
          <w:i/>
          <w:iCs/>
        </w:rPr>
        <w:t>MacKey</w:t>
      </w:r>
      <w:proofErr w:type="spellEnd"/>
      <w:r w:rsidRPr="000F5EDB">
        <w:rPr>
          <w:i/>
          <w:iCs/>
        </w:rPr>
        <w:t xml:space="preserve"> </w:t>
      </w:r>
      <w:r w:rsidRPr="000F5EDB">
        <w:t xml:space="preserve">obtained from the </w:t>
      </w:r>
      <w:proofErr w:type="spellStart"/>
      <w:r w:rsidRPr="000F5EDB">
        <w:rPr>
          <w:i/>
          <w:iCs/>
        </w:rPr>
        <w:t>TranportedKeyingMaterial</w:t>
      </w:r>
      <w:proofErr w:type="spellEnd"/>
      <w:r w:rsidRPr="000F5EDB">
        <w:rPr>
          <w:i/>
          <w:iCs/>
        </w:rPr>
        <w:t xml:space="preserve"> </w:t>
      </w:r>
      <w:r w:rsidRPr="000F5EDB">
        <w:t xml:space="preserve">and </w:t>
      </w:r>
      <w:proofErr w:type="spellStart"/>
      <w:r w:rsidRPr="000F5EDB">
        <w:rPr>
          <w:i/>
          <w:iCs/>
        </w:rPr>
        <w:t>MacData</w:t>
      </w:r>
      <w:proofErr w:type="spellEnd"/>
      <w:r w:rsidRPr="000F5EDB">
        <w:rPr>
          <w:i/>
          <w:iCs/>
        </w:rPr>
        <w:t xml:space="preserve"> </w:t>
      </w:r>
      <w:r w:rsidRPr="000F5EDB">
        <w:t xml:space="preserve">formed as described above) and provides it to Party U. Party U (the </w:t>
      </w:r>
      <w:proofErr w:type="spellStart"/>
      <w:r w:rsidRPr="000F5EDB">
        <w:rPr>
          <w:i/>
          <w:iCs/>
        </w:rPr>
        <w:t>MacTag</w:t>
      </w:r>
      <w:proofErr w:type="spellEnd"/>
      <w:r w:rsidRPr="000F5EDB">
        <w:rPr>
          <w:i/>
          <w:iCs/>
        </w:rPr>
        <w:t xml:space="preserve"> </w:t>
      </w:r>
      <w:r w:rsidRPr="000F5EDB">
        <w:t xml:space="preserve">receiver) computes a </w:t>
      </w:r>
      <w:proofErr w:type="spellStart"/>
      <w:r w:rsidRPr="000F5EDB">
        <w:rPr>
          <w:i/>
          <w:iCs/>
        </w:rPr>
        <w:t>MacTag</w:t>
      </w:r>
      <w:proofErr w:type="spellEnd"/>
      <w:r w:rsidRPr="000F5EDB">
        <w:rPr>
          <w:i/>
          <w:iCs/>
        </w:rPr>
        <w:t xml:space="preserve"> </w:t>
      </w:r>
      <w:r w:rsidRPr="000F5EDB">
        <w:t xml:space="preserve">(using the </w:t>
      </w:r>
      <w:proofErr w:type="spellStart"/>
      <w:r w:rsidRPr="000F5EDB">
        <w:rPr>
          <w:i/>
          <w:iCs/>
        </w:rPr>
        <w:t>MacKey</w:t>
      </w:r>
      <w:proofErr w:type="spellEnd"/>
      <w:r w:rsidRPr="000F5EDB">
        <w:rPr>
          <w:i/>
          <w:iCs/>
        </w:rPr>
        <w:t xml:space="preserve"> </w:t>
      </w:r>
      <w:r w:rsidRPr="000F5EDB">
        <w:t xml:space="preserve">that was included in the </w:t>
      </w:r>
      <w:proofErr w:type="spellStart"/>
      <w:r w:rsidRPr="000F5EDB">
        <w:rPr>
          <w:i/>
          <w:iCs/>
        </w:rPr>
        <w:t>TranportedKeyingMaterial</w:t>
      </w:r>
      <w:proofErr w:type="spellEnd"/>
      <w:r w:rsidRPr="000F5EDB">
        <w:rPr>
          <w:i/>
          <w:iCs/>
        </w:rPr>
        <w:t xml:space="preserve"> </w:t>
      </w:r>
      <w:r w:rsidRPr="000F5EDB">
        <w:t xml:space="preserve">and the </w:t>
      </w:r>
      <w:proofErr w:type="spellStart"/>
      <w:r w:rsidRPr="000F5EDB">
        <w:rPr>
          <w:i/>
          <w:iCs/>
        </w:rPr>
        <w:t>MacData</w:t>
      </w:r>
      <w:proofErr w:type="spellEnd"/>
      <w:r w:rsidRPr="000F5EDB">
        <w:rPr>
          <w:i/>
          <w:iCs/>
        </w:rPr>
        <w:t xml:space="preserve"> </w:t>
      </w:r>
      <w:r w:rsidRPr="000F5EDB">
        <w:t>formed as described above)</w:t>
      </w:r>
      <w:r w:rsidRPr="000F5EDB">
        <w:rPr>
          <w:i/>
          <w:iCs/>
        </w:rPr>
        <w:t xml:space="preserve">. </w:t>
      </w:r>
      <w:r w:rsidRPr="000F5EDB">
        <w:t xml:space="preserve">Party U then verifies that this newly computed </w:t>
      </w:r>
      <w:proofErr w:type="spellStart"/>
      <w:r w:rsidRPr="000F5EDB">
        <w:rPr>
          <w:i/>
          <w:iCs/>
        </w:rPr>
        <w:t>MacTag</w:t>
      </w:r>
      <w:proofErr w:type="spellEnd"/>
      <w:r w:rsidRPr="000F5EDB">
        <w:rPr>
          <w:i/>
          <w:iCs/>
        </w:rPr>
        <w:t xml:space="preserve"> </w:t>
      </w:r>
      <w:r w:rsidRPr="000F5EDB">
        <w:t xml:space="preserve">matches the </w:t>
      </w:r>
      <w:proofErr w:type="spellStart"/>
      <w:r w:rsidRPr="000F5EDB">
        <w:rPr>
          <w:i/>
          <w:iCs/>
        </w:rPr>
        <w:t>MacTag</w:t>
      </w:r>
      <w:proofErr w:type="spellEnd"/>
      <w:r w:rsidRPr="000F5EDB">
        <w:rPr>
          <w:i/>
          <w:iCs/>
        </w:rPr>
        <w:t xml:space="preserve"> </w:t>
      </w:r>
      <w:r w:rsidRPr="000F5EDB">
        <w:t xml:space="preserve">value provided by party V </w:t>
      </w:r>
    </w:p>
    <w:p w:rsidR="00117800" w:rsidRDefault="00117800" w:rsidP="00117800">
      <w:pPr>
        <w:pStyle w:val="NoSpacing"/>
        <w:ind w:left="360"/>
      </w:pPr>
    </w:p>
    <w:p w:rsidR="00485B94" w:rsidRDefault="00485B94" w:rsidP="004038DF">
      <w:pPr>
        <w:pStyle w:val="NoSpacing"/>
      </w:pPr>
    </w:p>
    <w:p w:rsidR="00485B94" w:rsidRDefault="00485B94" w:rsidP="00B435A1">
      <w:pPr>
        <w:pStyle w:val="Heading2"/>
      </w:pPr>
      <w:r w:rsidRPr="00485B94">
        <w:t>NIST Special Publication 800-57</w:t>
      </w:r>
      <w:r>
        <w:t xml:space="preserve"> </w:t>
      </w:r>
      <w:r w:rsidRPr="00485B94">
        <w:t>Recommendation for Key</w:t>
      </w:r>
      <w:r>
        <w:t xml:space="preserve"> </w:t>
      </w:r>
      <w:r w:rsidRPr="00485B94">
        <w:t>Management – Part 1: General</w:t>
      </w:r>
      <w:r>
        <w:t xml:space="preserve"> </w:t>
      </w:r>
      <w:r w:rsidRPr="00485B94">
        <w:t>(Revision 3)</w:t>
      </w:r>
    </w:p>
    <w:p w:rsidR="00485B94" w:rsidRPr="00485B94" w:rsidRDefault="00485B94" w:rsidP="00485B94">
      <w:pPr>
        <w:pStyle w:val="NoSpacing"/>
        <w:rPr>
          <w:bCs/>
        </w:rPr>
      </w:pPr>
      <w:r w:rsidRPr="00485B94">
        <w:rPr>
          <w:bCs/>
        </w:rPr>
        <w:t>[SP800-56A] specifies key-establishment schemes that use discrete-logarithm-based public-key</w:t>
      </w:r>
    </w:p>
    <w:p w:rsidR="00485B94" w:rsidRPr="00485B94" w:rsidRDefault="00485B94" w:rsidP="00485B94">
      <w:pPr>
        <w:pStyle w:val="NoSpacing"/>
        <w:rPr>
          <w:bCs/>
        </w:rPr>
      </w:pPr>
      <w:proofErr w:type="gramStart"/>
      <w:r w:rsidRPr="00485B94">
        <w:rPr>
          <w:bCs/>
        </w:rPr>
        <w:t>algorithms</w:t>
      </w:r>
      <w:proofErr w:type="gramEnd"/>
      <w:r w:rsidRPr="00485B94">
        <w:rPr>
          <w:bCs/>
        </w:rPr>
        <w:t>. With the key-establishment schemes specified in [SP800-56A], a party may own an</w:t>
      </w:r>
    </w:p>
    <w:p w:rsidR="00485B94" w:rsidRPr="00485B94" w:rsidRDefault="00485B94" w:rsidP="00485B94">
      <w:pPr>
        <w:pStyle w:val="NoSpacing"/>
        <w:rPr>
          <w:bCs/>
        </w:rPr>
      </w:pPr>
      <w:proofErr w:type="gramStart"/>
      <w:r w:rsidRPr="00485B94">
        <w:rPr>
          <w:bCs/>
        </w:rPr>
        <w:t>ephemeral</w:t>
      </w:r>
      <w:proofErr w:type="gramEnd"/>
      <w:r w:rsidRPr="00485B94">
        <w:rPr>
          <w:bCs/>
        </w:rPr>
        <w:t xml:space="preserve"> key, a static key, or both an ephemeral and a static key. The ephemeral key is used to</w:t>
      </w:r>
    </w:p>
    <w:p w:rsidR="00485B94" w:rsidRPr="00485B94" w:rsidRDefault="00485B94" w:rsidP="00485B94">
      <w:pPr>
        <w:pStyle w:val="NoSpacing"/>
        <w:rPr>
          <w:bCs/>
        </w:rPr>
      </w:pPr>
      <w:proofErr w:type="gramStart"/>
      <w:r w:rsidRPr="00485B94">
        <w:rPr>
          <w:bCs/>
        </w:rPr>
        <w:t>provide</w:t>
      </w:r>
      <w:proofErr w:type="gramEnd"/>
      <w:r w:rsidRPr="00485B94">
        <w:rPr>
          <w:bCs/>
        </w:rPr>
        <w:t xml:space="preserve"> a new secret for each key-establishment transaction, while the static key (if used in a</w:t>
      </w:r>
    </w:p>
    <w:p w:rsidR="00485B94" w:rsidRPr="00485B94" w:rsidRDefault="00485B94" w:rsidP="00485B94">
      <w:pPr>
        <w:pStyle w:val="NoSpacing"/>
        <w:rPr>
          <w:bCs/>
        </w:rPr>
      </w:pPr>
      <w:r w:rsidRPr="00485B94">
        <w:rPr>
          <w:bCs/>
        </w:rPr>
        <w:t>PKI with public-key certificates) provides for the authentication of the owner. [SP800-56A]</w:t>
      </w:r>
    </w:p>
    <w:p w:rsidR="00485B94" w:rsidRPr="00485B94" w:rsidRDefault="00485B94" w:rsidP="00485B94">
      <w:pPr>
        <w:pStyle w:val="NoSpacing"/>
        <w:rPr>
          <w:bCs/>
        </w:rPr>
      </w:pPr>
      <w:proofErr w:type="gramStart"/>
      <w:r w:rsidRPr="00485B94">
        <w:rPr>
          <w:bCs/>
        </w:rPr>
        <w:t>characterizes</w:t>
      </w:r>
      <w:proofErr w:type="gramEnd"/>
      <w:r w:rsidRPr="00485B94">
        <w:rPr>
          <w:bCs/>
        </w:rPr>
        <w:t xml:space="preserve"> each scheme into a class, depending upon how many ephemeral and static keys are</w:t>
      </w:r>
    </w:p>
    <w:p w:rsidR="00485B94" w:rsidRPr="00485B94" w:rsidRDefault="00485B94" w:rsidP="00485B94">
      <w:pPr>
        <w:pStyle w:val="NoSpacing"/>
        <w:rPr>
          <w:bCs/>
        </w:rPr>
      </w:pPr>
      <w:proofErr w:type="gramStart"/>
      <w:r w:rsidRPr="00485B94">
        <w:rPr>
          <w:bCs/>
        </w:rPr>
        <w:t>used</w:t>
      </w:r>
      <w:proofErr w:type="gramEnd"/>
      <w:r w:rsidRPr="00485B94">
        <w:rPr>
          <w:bCs/>
        </w:rPr>
        <w:t>. Each scheme class has its corresponding security properties.</w:t>
      </w:r>
    </w:p>
    <w:p w:rsidR="00485B94" w:rsidRPr="00485B94" w:rsidRDefault="00485B94" w:rsidP="00485B94">
      <w:pPr>
        <w:pStyle w:val="NoSpacing"/>
        <w:rPr>
          <w:b/>
          <w:bCs/>
        </w:rPr>
      </w:pPr>
      <w:r w:rsidRPr="00485B94">
        <w:rPr>
          <w:b/>
          <w:bCs/>
        </w:rPr>
        <w:t>RSA Key Establishment</w:t>
      </w:r>
    </w:p>
    <w:p w:rsidR="00485B94" w:rsidRPr="00485B94" w:rsidRDefault="00485B94" w:rsidP="00485B94">
      <w:pPr>
        <w:pStyle w:val="NoSpacing"/>
        <w:rPr>
          <w:b/>
          <w:bCs/>
        </w:rPr>
      </w:pPr>
      <w:r w:rsidRPr="00485B94">
        <w:lastRenderedPageBreak/>
        <w:t xml:space="preserve">RSA key-establishment schemes based on the integer-factorization problem have been </w:t>
      </w:r>
      <w:r w:rsidRPr="00485B94">
        <w:rPr>
          <w:b/>
          <w:bCs/>
        </w:rPr>
        <w:t>approved</w:t>
      </w:r>
    </w:p>
    <w:p w:rsidR="00485B94" w:rsidRPr="00485B94" w:rsidRDefault="00485B94" w:rsidP="00485B94">
      <w:pPr>
        <w:pStyle w:val="NoSpacing"/>
      </w:pPr>
      <w:proofErr w:type="gramStart"/>
      <w:r w:rsidRPr="00485B94">
        <w:t>in</w:t>
      </w:r>
      <w:proofErr w:type="gramEnd"/>
      <w:r w:rsidRPr="00485B94">
        <w:t xml:space="preserve"> [SP800-56B]. Four scheme families are specified, two families for key agreement and two for</w:t>
      </w:r>
    </w:p>
    <w:p w:rsidR="00485B94" w:rsidRPr="00485B94" w:rsidRDefault="00485B94" w:rsidP="00485B94">
      <w:pPr>
        <w:pStyle w:val="NoSpacing"/>
      </w:pPr>
      <w:proofErr w:type="gramStart"/>
      <w:r w:rsidRPr="00485B94">
        <w:t>key</w:t>
      </w:r>
      <w:proofErr w:type="gramEnd"/>
      <w:r w:rsidRPr="00485B94">
        <w:t xml:space="preserve"> transport. Each scheme family has a basic scheme and one or more key confirmation</w:t>
      </w:r>
    </w:p>
    <w:p w:rsidR="00485B94" w:rsidRDefault="00485B94" w:rsidP="00485B94">
      <w:pPr>
        <w:pStyle w:val="NoSpacing"/>
      </w:pPr>
      <w:proofErr w:type="gramStart"/>
      <w:r w:rsidRPr="00485B94">
        <w:t>schemes</w:t>
      </w:r>
      <w:proofErr w:type="gramEnd"/>
      <w:r w:rsidRPr="00485B94">
        <w:t>.</w:t>
      </w:r>
    </w:p>
    <w:p w:rsidR="00FC2E0B" w:rsidRPr="00FC2E0B" w:rsidRDefault="00FC2E0B" w:rsidP="00FC2E0B">
      <w:pPr>
        <w:pStyle w:val="NoSpacing"/>
      </w:pPr>
    </w:p>
    <w:p w:rsidR="00FC2E0B" w:rsidRDefault="00FC2E0B" w:rsidP="00B435A1">
      <w:pPr>
        <w:pStyle w:val="Heading2"/>
      </w:pPr>
      <w:r w:rsidRPr="00FC2E0B">
        <w:t xml:space="preserve"> NIST Special Publication 800-56B</w:t>
      </w:r>
      <w:r>
        <w:t xml:space="preserve"> </w:t>
      </w:r>
      <w:r w:rsidRPr="00FC2E0B">
        <w:t>Recommendation for Pair-Wise Key Establishment Schemes Using Integer Factorization Cryptography</w:t>
      </w:r>
    </w:p>
    <w:p w:rsidR="00FC2E0B" w:rsidRDefault="00FC2E0B" w:rsidP="00FC2E0B">
      <w:pPr>
        <w:pStyle w:val="NoSpacing"/>
        <w:rPr>
          <w:b/>
          <w:bCs/>
          <w:vertAlign w:val="subscript"/>
        </w:rPr>
      </w:pPr>
      <w:r w:rsidRPr="00FC2E0B">
        <w:rPr>
          <w:b/>
          <w:bCs/>
          <w:vertAlign w:val="subscript"/>
        </w:rPr>
        <w:t>August 2009</w:t>
      </w:r>
    </w:p>
    <w:p w:rsidR="0052074C" w:rsidRPr="0052074C" w:rsidRDefault="0052074C" w:rsidP="0052074C">
      <w:pPr>
        <w:pStyle w:val="NoSpacing"/>
      </w:pPr>
      <w:r w:rsidRPr="0052074C">
        <w:t>RSA key transport</w:t>
      </w:r>
    </w:p>
    <w:p w:rsidR="00A41718" w:rsidRDefault="00A41718" w:rsidP="00FC2E0B">
      <w:pPr>
        <w:pStyle w:val="NoSpacing"/>
        <w:rPr>
          <w:b/>
          <w:bCs/>
          <w:vertAlign w:val="subscript"/>
        </w:rPr>
      </w:pPr>
    </w:p>
    <w:p w:rsidR="00A41718" w:rsidRDefault="00A41718" w:rsidP="00A41718">
      <w:pPr>
        <w:pStyle w:val="Heading2"/>
      </w:pPr>
      <w:r>
        <w:t>NIST Special Publication 800-132 Recommendation for Password-Based Key Derivation Part 1: Storage Applications</w:t>
      </w:r>
    </w:p>
    <w:p w:rsidR="00A41718" w:rsidRDefault="00A41718" w:rsidP="00A41718">
      <w:pPr>
        <w:pStyle w:val="NoSpacing"/>
      </w:pPr>
      <w:r w:rsidRPr="00A41718">
        <w:t>This Recommendation specifies techniques for the derivation of master keys from passwords or passphrases to protect stored electronic data or data protection keys.</w:t>
      </w:r>
    </w:p>
    <w:p w:rsidR="00A41718" w:rsidRDefault="00A41718" w:rsidP="00A41718">
      <w:pPr>
        <w:pStyle w:val="NoSpacing"/>
      </w:pPr>
    </w:p>
    <w:p w:rsidR="00A41718" w:rsidRDefault="00A41718" w:rsidP="00A41718">
      <w:pPr>
        <w:pStyle w:val="NoSpacing"/>
      </w:pPr>
    </w:p>
    <w:p w:rsidR="00A41718" w:rsidRPr="000C68CD" w:rsidRDefault="00A41718" w:rsidP="00A41718">
      <w:pPr>
        <w:pStyle w:val="NoSpacing"/>
      </w:pPr>
    </w:p>
    <w:sectPr w:rsidR="00A41718" w:rsidRPr="000C6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Andale Mono">
    <w:panose1 w:val="020B0509000000000004"/>
    <w:charset w:val="00"/>
    <w:family w:val="modern"/>
    <w:pitch w:val="fixed"/>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01.25pt;height:269.9pt" o:bullet="t">
        <v:imagedata r:id="rId1" o:title="artC745"/>
      </v:shape>
    </w:pict>
  </w:numPicBullet>
  <w:abstractNum w:abstractNumId="0">
    <w:nsid w:val="FFFFFF7C"/>
    <w:multiLevelType w:val="singleLevel"/>
    <w:tmpl w:val="4E9050F6"/>
    <w:lvl w:ilvl="0">
      <w:start w:val="1"/>
      <w:numFmt w:val="decimal"/>
      <w:lvlText w:val="%1."/>
      <w:lvlJc w:val="left"/>
      <w:pPr>
        <w:tabs>
          <w:tab w:val="num" w:pos="1800"/>
        </w:tabs>
        <w:ind w:left="1800" w:hanging="360"/>
      </w:pPr>
    </w:lvl>
  </w:abstractNum>
  <w:abstractNum w:abstractNumId="1">
    <w:nsid w:val="FFFFFF7D"/>
    <w:multiLevelType w:val="singleLevel"/>
    <w:tmpl w:val="52108E44"/>
    <w:lvl w:ilvl="0">
      <w:start w:val="1"/>
      <w:numFmt w:val="decimal"/>
      <w:lvlText w:val="%1."/>
      <w:lvlJc w:val="left"/>
      <w:pPr>
        <w:tabs>
          <w:tab w:val="num" w:pos="1440"/>
        </w:tabs>
        <w:ind w:left="1440" w:hanging="360"/>
      </w:pPr>
    </w:lvl>
  </w:abstractNum>
  <w:abstractNum w:abstractNumId="2">
    <w:nsid w:val="FFFFFF7E"/>
    <w:multiLevelType w:val="singleLevel"/>
    <w:tmpl w:val="7B249F3C"/>
    <w:lvl w:ilvl="0">
      <w:start w:val="1"/>
      <w:numFmt w:val="decimal"/>
      <w:lvlText w:val="%1."/>
      <w:lvlJc w:val="left"/>
      <w:pPr>
        <w:tabs>
          <w:tab w:val="num" w:pos="1080"/>
        </w:tabs>
        <w:ind w:left="1080" w:hanging="360"/>
      </w:pPr>
    </w:lvl>
  </w:abstractNum>
  <w:abstractNum w:abstractNumId="3">
    <w:nsid w:val="FFFFFF7F"/>
    <w:multiLevelType w:val="singleLevel"/>
    <w:tmpl w:val="83B8C9AC"/>
    <w:lvl w:ilvl="0">
      <w:start w:val="1"/>
      <w:numFmt w:val="decimal"/>
      <w:lvlText w:val="%1."/>
      <w:lvlJc w:val="left"/>
      <w:pPr>
        <w:tabs>
          <w:tab w:val="num" w:pos="720"/>
        </w:tabs>
        <w:ind w:left="720" w:hanging="360"/>
      </w:pPr>
    </w:lvl>
  </w:abstractNum>
  <w:abstractNum w:abstractNumId="4">
    <w:nsid w:val="FFFFFF80"/>
    <w:multiLevelType w:val="singleLevel"/>
    <w:tmpl w:val="4B44E4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4FCB2F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BC0E42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660D3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9C26A9C"/>
    <w:lvl w:ilvl="0">
      <w:start w:val="1"/>
      <w:numFmt w:val="decimal"/>
      <w:lvlText w:val="%1."/>
      <w:lvlJc w:val="left"/>
      <w:pPr>
        <w:tabs>
          <w:tab w:val="num" w:pos="360"/>
        </w:tabs>
        <w:ind w:left="360" w:hanging="360"/>
      </w:pPr>
    </w:lvl>
  </w:abstractNum>
  <w:abstractNum w:abstractNumId="9">
    <w:nsid w:val="FFFFFF89"/>
    <w:multiLevelType w:val="singleLevel"/>
    <w:tmpl w:val="26BA0974"/>
    <w:lvl w:ilvl="0">
      <w:start w:val="1"/>
      <w:numFmt w:val="bullet"/>
      <w:lvlText w:val=""/>
      <w:lvlJc w:val="left"/>
      <w:pPr>
        <w:tabs>
          <w:tab w:val="num" w:pos="360"/>
        </w:tabs>
        <w:ind w:left="360" w:hanging="360"/>
      </w:pPr>
      <w:rPr>
        <w:rFonts w:ascii="Symbol" w:hAnsi="Symbol" w:hint="default"/>
      </w:rPr>
    </w:lvl>
  </w:abstractNum>
  <w:abstractNum w:abstractNumId="10">
    <w:nsid w:val="04962C69"/>
    <w:multiLevelType w:val="hybridMultilevel"/>
    <w:tmpl w:val="614C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3E2599"/>
    <w:multiLevelType w:val="hybridMultilevel"/>
    <w:tmpl w:val="B6A08C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5F1B9B"/>
    <w:multiLevelType w:val="multilevel"/>
    <w:tmpl w:val="66C63BBE"/>
    <w:lvl w:ilvl="0">
      <w:start w:val="2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29F71847"/>
    <w:multiLevelType w:val="hybridMultilevel"/>
    <w:tmpl w:val="C36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1E7F3D"/>
    <w:multiLevelType w:val="hybridMultilevel"/>
    <w:tmpl w:val="AF3C0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AA6792"/>
    <w:multiLevelType w:val="hybridMultilevel"/>
    <w:tmpl w:val="CC546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E05744C"/>
    <w:multiLevelType w:val="hybridMultilevel"/>
    <w:tmpl w:val="EDEC3BC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061B68"/>
    <w:multiLevelType w:val="hybridMultilevel"/>
    <w:tmpl w:val="1520E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904687"/>
    <w:multiLevelType w:val="hybridMultilevel"/>
    <w:tmpl w:val="38DA5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BB7141"/>
    <w:multiLevelType w:val="hybridMultilevel"/>
    <w:tmpl w:val="5AD29F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0"/>
  </w:num>
  <w:num w:numId="14">
    <w:abstractNumId w:val="13"/>
  </w:num>
  <w:num w:numId="15">
    <w:abstractNumId w:val="17"/>
  </w:num>
  <w:num w:numId="16">
    <w:abstractNumId w:val="19"/>
  </w:num>
  <w:num w:numId="17">
    <w:abstractNumId w:val="16"/>
  </w:num>
  <w:num w:numId="18">
    <w:abstractNumId w:val="11"/>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lickAndTypeStyle w:val="NoSpac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DF"/>
    <w:rsid w:val="000C68CD"/>
    <w:rsid w:val="000F5EDB"/>
    <w:rsid w:val="00104ABE"/>
    <w:rsid w:val="00117800"/>
    <w:rsid w:val="00170602"/>
    <w:rsid w:val="00182ABA"/>
    <w:rsid w:val="001C712C"/>
    <w:rsid w:val="001E37B6"/>
    <w:rsid w:val="00210901"/>
    <w:rsid w:val="00234C58"/>
    <w:rsid w:val="00341E43"/>
    <w:rsid w:val="003A1CC8"/>
    <w:rsid w:val="003E6C5B"/>
    <w:rsid w:val="003F1C14"/>
    <w:rsid w:val="004038DF"/>
    <w:rsid w:val="004703B4"/>
    <w:rsid w:val="00485B94"/>
    <w:rsid w:val="00487DA4"/>
    <w:rsid w:val="0052074C"/>
    <w:rsid w:val="00560A0A"/>
    <w:rsid w:val="00570B2E"/>
    <w:rsid w:val="00571059"/>
    <w:rsid w:val="005F0582"/>
    <w:rsid w:val="005F614E"/>
    <w:rsid w:val="006A0F70"/>
    <w:rsid w:val="006B5CA9"/>
    <w:rsid w:val="00700430"/>
    <w:rsid w:val="0071569A"/>
    <w:rsid w:val="007E5841"/>
    <w:rsid w:val="007E7A81"/>
    <w:rsid w:val="007F4852"/>
    <w:rsid w:val="00805110"/>
    <w:rsid w:val="00817719"/>
    <w:rsid w:val="00825B5E"/>
    <w:rsid w:val="00856811"/>
    <w:rsid w:val="008C1091"/>
    <w:rsid w:val="00975EDA"/>
    <w:rsid w:val="00997279"/>
    <w:rsid w:val="009E29BC"/>
    <w:rsid w:val="00A35459"/>
    <w:rsid w:val="00A41534"/>
    <w:rsid w:val="00A41718"/>
    <w:rsid w:val="00B12737"/>
    <w:rsid w:val="00B435A1"/>
    <w:rsid w:val="00B65B08"/>
    <w:rsid w:val="00B82CE3"/>
    <w:rsid w:val="00B84CD3"/>
    <w:rsid w:val="00BE3FA9"/>
    <w:rsid w:val="00C06BD5"/>
    <w:rsid w:val="00CA37DF"/>
    <w:rsid w:val="00D004BA"/>
    <w:rsid w:val="00D0650A"/>
    <w:rsid w:val="00DB5C3F"/>
    <w:rsid w:val="00E15230"/>
    <w:rsid w:val="00E93DBC"/>
    <w:rsid w:val="00EF52DC"/>
    <w:rsid w:val="00F053A1"/>
    <w:rsid w:val="00F51E8B"/>
    <w:rsid w:val="00FC2E0B"/>
    <w:rsid w:val="00FD4EFA"/>
    <w:rsid w:val="00FF0C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08"/>
  </w:style>
  <w:style w:type="paragraph" w:styleId="Heading1">
    <w:name w:val="heading 1"/>
    <w:basedOn w:val="Normal"/>
    <w:next w:val="Normal"/>
    <w:link w:val="Heading1Char"/>
    <w:uiPriority w:val="9"/>
    <w:qFormat/>
    <w:rsid w:val="0071569A"/>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71569A"/>
    <w:pPr>
      <w:pBdr>
        <w:bottom w:val="single" w:sz="8" w:space="1" w:color="4F81BD" w:themeColor="accent1"/>
      </w:pBdr>
      <w:spacing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71569A"/>
    <w:pPr>
      <w:pBdr>
        <w:bottom w:val="single" w:sz="4" w:space="1" w:color="95B3D7" w:themeColor="accent1" w:themeTint="99"/>
      </w:pBdr>
      <w:spacing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71569A"/>
    <w:pPr>
      <w:pBdr>
        <w:bottom w:val="single" w:sz="4" w:space="2" w:color="B8CCE4" w:themeColor="accent1" w:themeTint="66"/>
      </w:pBdr>
      <w:spacing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71569A"/>
    <w:pPr>
      <w:spacing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71569A"/>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71569A"/>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71569A"/>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71569A"/>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569A"/>
    <w:rPr>
      <w:rFonts w:asciiTheme="majorHAnsi" w:eastAsiaTheme="majorEastAsia" w:hAnsiTheme="majorHAnsi" w:cstheme="majorBidi"/>
      <w:color w:val="4F81BD" w:themeColor="accent1"/>
      <w:sz w:val="24"/>
      <w:szCs w:val="24"/>
    </w:rPr>
  </w:style>
  <w:style w:type="paragraph" w:customStyle="1" w:styleId="Normal-Tab">
    <w:name w:val="Normal-Tab"/>
    <w:basedOn w:val="Normal"/>
    <w:link w:val="Normal-TabChar"/>
    <w:qFormat/>
    <w:rsid w:val="0071569A"/>
    <w:pPr>
      <w:spacing w:before="200"/>
      <w:ind w:firstLine="720"/>
    </w:pPr>
    <w:rPr>
      <w:kern w:val="24"/>
    </w:rPr>
  </w:style>
  <w:style w:type="paragraph" w:styleId="NoSpacing">
    <w:name w:val="No Spacing"/>
    <w:basedOn w:val="Normal"/>
    <w:link w:val="NoSpacingChar"/>
    <w:uiPriority w:val="1"/>
    <w:qFormat/>
    <w:rsid w:val="0071569A"/>
    <w:pPr>
      <w:contextualSpacing/>
    </w:pPr>
  </w:style>
  <w:style w:type="paragraph" w:customStyle="1" w:styleId="No-Line-space">
    <w:name w:val="No-Line-space"/>
    <w:basedOn w:val="Normal"/>
    <w:link w:val="No-Line-spaceChar"/>
    <w:qFormat/>
    <w:rsid w:val="0071569A"/>
  </w:style>
  <w:style w:type="character" w:customStyle="1" w:styleId="No-Line-spaceChar">
    <w:name w:val="No-Line-space Char"/>
    <w:basedOn w:val="DefaultParagraphFont"/>
    <w:link w:val="No-Line-space"/>
    <w:rsid w:val="0071569A"/>
  </w:style>
  <w:style w:type="character" w:customStyle="1" w:styleId="Heading1Char">
    <w:name w:val="Heading 1 Char"/>
    <w:basedOn w:val="DefaultParagraphFont"/>
    <w:link w:val="Heading1"/>
    <w:uiPriority w:val="9"/>
    <w:rsid w:val="0071569A"/>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71569A"/>
    <w:rPr>
      <w:rFonts w:asciiTheme="majorHAnsi" w:eastAsiaTheme="majorEastAsia" w:hAnsiTheme="majorHAnsi" w:cstheme="majorBidi"/>
      <w:color w:val="365F91" w:themeColor="accent1" w:themeShade="BF"/>
      <w:sz w:val="24"/>
      <w:szCs w:val="24"/>
    </w:rPr>
  </w:style>
  <w:style w:type="character" w:customStyle="1" w:styleId="Heading4Char">
    <w:name w:val="Heading 4 Char"/>
    <w:basedOn w:val="DefaultParagraphFont"/>
    <w:link w:val="Heading4"/>
    <w:uiPriority w:val="9"/>
    <w:semiHidden/>
    <w:rsid w:val="0071569A"/>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71569A"/>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71569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71569A"/>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71569A"/>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71569A"/>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71569A"/>
    <w:rPr>
      <w:b/>
      <w:bCs/>
      <w:sz w:val="18"/>
      <w:szCs w:val="18"/>
    </w:rPr>
  </w:style>
  <w:style w:type="paragraph" w:styleId="Title">
    <w:name w:val="Title"/>
    <w:basedOn w:val="Normal"/>
    <w:next w:val="Normal"/>
    <w:link w:val="TitleChar"/>
    <w:uiPriority w:val="10"/>
    <w:qFormat/>
    <w:rsid w:val="0071569A"/>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71569A"/>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71569A"/>
    <w:pPr>
      <w:spacing w:after="900"/>
      <w:jc w:val="right"/>
    </w:pPr>
    <w:rPr>
      <w:i/>
      <w:iCs/>
      <w:sz w:val="24"/>
      <w:szCs w:val="24"/>
    </w:rPr>
  </w:style>
  <w:style w:type="character" w:customStyle="1" w:styleId="SubtitleChar">
    <w:name w:val="Subtitle Char"/>
    <w:basedOn w:val="DefaultParagraphFont"/>
    <w:link w:val="Subtitle"/>
    <w:uiPriority w:val="11"/>
    <w:rsid w:val="0071569A"/>
    <w:rPr>
      <w:i/>
      <w:iCs/>
      <w:sz w:val="24"/>
      <w:szCs w:val="24"/>
    </w:rPr>
  </w:style>
  <w:style w:type="character" w:styleId="Strong">
    <w:name w:val="Strong"/>
    <w:basedOn w:val="DefaultParagraphFont"/>
    <w:uiPriority w:val="22"/>
    <w:qFormat/>
    <w:rsid w:val="0071569A"/>
    <w:rPr>
      <w:b/>
      <w:bCs/>
      <w:spacing w:val="0"/>
    </w:rPr>
  </w:style>
  <w:style w:type="character" w:styleId="Emphasis">
    <w:name w:val="Emphasis"/>
    <w:uiPriority w:val="20"/>
    <w:qFormat/>
    <w:rsid w:val="0071569A"/>
    <w:rPr>
      <w:b/>
      <w:bCs/>
      <w:i/>
      <w:iCs/>
      <w:color w:val="5A5A5A" w:themeColor="text1" w:themeTint="A5"/>
    </w:rPr>
  </w:style>
  <w:style w:type="character" w:customStyle="1" w:styleId="NoSpacingChar">
    <w:name w:val="No Spacing Char"/>
    <w:basedOn w:val="DefaultParagraphFont"/>
    <w:link w:val="NoSpacing"/>
    <w:uiPriority w:val="1"/>
    <w:rsid w:val="0071569A"/>
  </w:style>
  <w:style w:type="paragraph" w:styleId="ListParagraph">
    <w:name w:val="List Paragraph"/>
    <w:basedOn w:val="Normal"/>
    <w:uiPriority w:val="34"/>
    <w:qFormat/>
    <w:rsid w:val="0071569A"/>
    <w:pPr>
      <w:ind w:left="720"/>
      <w:contextualSpacing/>
    </w:pPr>
  </w:style>
  <w:style w:type="paragraph" w:styleId="Quote">
    <w:name w:val="Quote"/>
    <w:basedOn w:val="Normal"/>
    <w:next w:val="Normal"/>
    <w:link w:val="QuoteChar"/>
    <w:uiPriority w:val="29"/>
    <w:qFormat/>
    <w:rsid w:val="0071569A"/>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71569A"/>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71569A"/>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71569A"/>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71569A"/>
    <w:rPr>
      <w:i/>
      <w:iCs/>
      <w:color w:val="5A5A5A" w:themeColor="text1" w:themeTint="A5"/>
    </w:rPr>
  </w:style>
  <w:style w:type="character" w:styleId="IntenseEmphasis">
    <w:name w:val="Intense Emphasis"/>
    <w:uiPriority w:val="21"/>
    <w:qFormat/>
    <w:rsid w:val="0071569A"/>
    <w:rPr>
      <w:b/>
      <w:bCs/>
      <w:i/>
      <w:iCs/>
      <w:color w:val="4F81BD" w:themeColor="accent1"/>
      <w:sz w:val="22"/>
      <w:szCs w:val="22"/>
    </w:rPr>
  </w:style>
  <w:style w:type="character" w:styleId="SubtleReference">
    <w:name w:val="Subtle Reference"/>
    <w:uiPriority w:val="31"/>
    <w:qFormat/>
    <w:rsid w:val="0071569A"/>
    <w:rPr>
      <w:color w:val="auto"/>
      <w:u w:val="single" w:color="9BBB59" w:themeColor="accent3"/>
    </w:rPr>
  </w:style>
  <w:style w:type="character" w:styleId="IntenseReference">
    <w:name w:val="Intense Reference"/>
    <w:basedOn w:val="DefaultParagraphFont"/>
    <w:uiPriority w:val="32"/>
    <w:qFormat/>
    <w:rsid w:val="0071569A"/>
    <w:rPr>
      <w:b/>
      <w:bCs/>
      <w:color w:val="76923C" w:themeColor="accent3" w:themeShade="BF"/>
      <w:u w:val="single" w:color="9BBB59" w:themeColor="accent3"/>
    </w:rPr>
  </w:style>
  <w:style w:type="character" w:styleId="BookTitle">
    <w:name w:val="Book Title"/>
    <w:basedOn w:val="DefaultParagraphFont"/>
    <w:uiPriority w:val="33"/>
    <w:qFormat/>
    <w:rsid w:val="0071569A"/>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71569A"/>
    <w:pPr>
      <w:outlineLvl w:val="9"/>
    </w:pPr>
    <w:rPr>
      <w:lang w:bidi="en-US"/>
    </w:rPr>
  </w:style>
  <w:style w:type="paragraph" w:customStyle="1" w:styleId="EX-No-Tab">
    <w:name w:val="EX-No-Tab"/>
    <w:basedOn w:val="Normal"/>
    <w:link w:val="EX-No-TabChar"/>
    <w:qFormat/>
    <w:rsid w:val="0071569A"/>
    <w:rPr>
      <w:color w:val="0070C0"/>
    </w:rPr>
  </w:style>
  <w:style w:type="character" w:customStyle="1" w:styleId="EX-No-TabChar">
    <w:name w:val="EX-No-Tab Char"/>
    <w:basedOn w:val="DefaultParagraphFont"/>
    <w:link w:val="EX-No-Tab"/>
    <w:rsid w:val="0071569A"/>
    <w:rPr>
      <w:color w:val="0070C0"/>
    </w:rPr>
  </w:style>
  <w:style w:type="paragraph" w:customStyle="1" w:styleId="Ex-Tab">
    <w:name w:val="Ex-Tab"/>
    <w:basedOn w:val="Normal-Tab"/>
    <w:link w:val="Ex-TabChar"/>
    <w:qFormat/>
    <w:rsid w:val="0071569A"/>
    <w:rPr>
      <w:color w:val="0070C0"/>
    </w:rPr>
  </w:style>
  <w:style w:type="character" w:customStyle="1" w:styleId="Ex-TabChar">
    <w:name w:val="Ex-Tab Char"/>
    <w:basedOn w:val="Normal-TabChar"/>
    <w:link w:val="Ex-Tab"/>
    <w:rsid w:val="0071569A"/>
    <w:rPr>
      <w:color w:val="0070C0"/>
      <w:kern w:val="24"/>
    </w:rPr>
  </w:style>
  <w:style w:type="paragraph" w:customStyle="1" w:styleId="Ex-No-Space">
    <w:name w:val="Ex-No-Space"/>
    <w:basedOn w:val="NoSpacing"/>
    <w:link w:val="Ex-No-SpaceChar"/>
    <w:qFormat/>
    <w:rsid w:val="0071569A"/>
    <w:rPr>
      <w:color w:val="0070C0"/>
    </w:rPr>
  </w:style>
  <w:style w:type="character" w:customStyle="1" w:styleId="Ex-No-SpaceChar">
    <w:name w:val="Ex-No-Space Char"/>
    <w:basedOn w:val="NoSpacingChar"/>
    <w:link w:val="Ex-No-Space"/>
    <w:rsid w:val="0071569A"/>
    <w:rPr>
      <w:color w:val="0070C0"/>
    </w:rPr>
  </w:style>
  <w:style w:type="character" w:customStyle="1" w:styleId="Normal-TabChar">
    <w:name w:val="Normal-Tab Char"/>
    <w:basedOn w:val="DefaultParagraphFont"/>
    <w:link w:val="Normal-Tab"/>
    <w:rsid w:val="0071569A"/>
    <w:rPr>
      <w:kern w:val="24"/>
    </w:rPr>
  </w:style>
  <w:style w:type="paragraph" w:customStyle="1" w:styleId="Default">
    <w:name w:val="Default"/>
    <w:rsid w:val="00FC2E0B"/>
    <w:pPr>
      <w:autoSpaceDE w:val="0"/>
      <w:autoSpaceDN w:val="0"/>
      <w:adjustRightInd w:val="0"/>
      <w:spacing w:line="240" w:lineRule="auto"/>
    </w:pPr>
    <w:rPr>
      <w:rFonts w:ascii="Times New Roman" w:hAnsi="Times New Roman" w:cs="Times New Roman"/>
      <w:color w:val="000000"/>
      <w:sz w:val="24"/>
      <w:szCs w:val="24"/>
    </w:rPr>
  </w:style>
  <w:style w:type="table" w:styleId="TableGrid">
    <w:name w:val="Table Grid"/>
    <w:basedOn w:val="TableNormal"/>
    <w:uiPriority w:val="59"/>
    <w:rsid w:val="00A4153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semiHidden/>
    <w:unhideWhenUsed/>
    <w:rsid w:val="00B435A1"/>
  </w:style>
  <w:style w:type="character" w:customStyle="1" w:styleId="DateChar">
    <w:name w:val="Date Char"/>
    <w:basedOn w:val="DefaultParagraphFont"/>
    <w:link w:val="Date"/>
    <w:uiPriority w:val="99"/>
    <w:semiHidden/>
    <w:rsid w:val="00B435A1"/>
  </w:style>
  <w:style w:type="paragraph" w:styleId="NormalWeb">
    <w:name w:val="Normal (Web)"/>
    <w:basedOn w:val="Normal"/>
    <w:uiPriority w:val="99"/>
    <w:unhideWhenUsed/>
    <w:rsid w:val="00D004B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08"/>
  </w:style>
  <w:style w:type="paragraph" w:styleId="Heading1">
    <w:name w:val="heading 1"/>
    <w:basedOn w:val="Normal"/>
    <w:next w:val="Normal"/>
    <w:link w:val="Heading1Char"/>
    <w:uiPriority w:val="9"/>
    <w:qFormat/>
    <w:rsid w:val="0071569A"/>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71569A"/>
    <w:pPr>
      <w:pBdr>
        <w:bottom w:val="single" w:sz="8" w:space="1" w:color="4F81BD" w:themeColor="accent1"/>
      </w:pBdr>
      <w:spacing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71569A"/>
    <w:pPr>
      <w:pBdr>
        <w:bottom w:val="single" w:sz="4" w:space="1" w:color="95B3D7" w:themeColor="accent1" w:themeTint="99"/>
      </w:pBdr>
      <w:spacing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71569A"/>
    <w:pPr>
      <w:pBdr>
        <w:bottom w:val="single" w:sz="4" w:space="2" w:color="B8CCE4" w:themeColor="accent1" w:themeTint="66"/>
      </w:pBdr>
      <w:spacing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71569A"/>
    <w:pPr>
      <w:spacing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71569A"/>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71569A"/>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71569A"/>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71569A"/>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569A"/>
    <w:rPr>
      <w:rFonts w:asciiTheme="majorHAnsi" w:eastAsiaTheme="majorEastAsia" w:hAnsiTheme="majorHAnsi" w:cstheme="majorBidi"/>
      <w:color w:val="4F81BD" w:themeColor="accent1"/>
      <w:sz w:val="24"/>
      <w:szCs w:val="24"/>
    </w:rPr>
  </w:style>
  <w:style w:type="paragraph" w:customStyle="1" w:styleId="Normal-Tab">
    <w:name w:val="Normal-Tab"/>
    <w:basedOn w:val="Normal"/>
    <w:link w:val="Normal-TabChar"/>
    <w:qFormat/>
    <w:rsid w:val="0071569A"/>
    <w:pPr>
      <w:spacing w:before="200"/>
      <w:ind w:firstLine="720"/>
    </w:pPr>
    <w:rPr>
      <w:kern w:val="24"/>
    </w:rPr>
  </w:style>
  <w:style w:type="paragraph" w:styleId="NoSpacing">
    <w:name w:val="No Spacing"/>
    <w:basedOn w:val="Normal"/>
    <w:link w:val="NoSpacingChar"/>
    <w:uiPriority w:val="1"/>
    <w:qFormat/>
    <w:rsid w:val="0071569A"/>
    <w:pPr>
      <w:contextualSpacing/>
    </w:pPr>
  </w:style>
  <w:style w:type="paragraph" w:customStyle="1" w:styleId="No-Line-space">
    <w:name w:val="No-Line-space"/>
    <w:basedOn w:val="Normal"/>
    <w:link w:val="No-Line-spaceChar"/>
    <w:qFormat/>
    <w:rsid w:val="0071569A"/>
  </w:style>
  <w:style w:type="character" w:customStyle="1" w:styleId="No-Line-spaceChar">
    <w:name w:val="No-Line-space Char"/>
    <w:basedOn w:val="DefaultParagraphFont"/>
    <w:link w:val="No-Line-space"/>
    <w:rsid w:val="0071569A"/>
  </w:style>
  <w:style w:type="character" w:customStyle="1" w:styleId="Heading1Char">
    <w:name w:val="Heading 1 Char"/>
    <w:basedOn w:val="DefaultParagraphFont"/>
    <w:link w:val="Heading1"/>
    <w:uiPriority w:val="9"/>
    <w:rsid w:val="0071569A"/>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71569A"/>
    <w:rPr>
      <w:rFonts w:asciiTheme="majorHAnsi" w:eastAsiaTheme="majorEastAsia" w:hAnsiTheme="majorHAnsi" w:cstheme="majorBidi"/>
      <w:color w:val="365F91" w:themeColor="accent1" w:themeShade="BF"/>
      <w:sz w:val="24"/>
      <w:szCs w:val="24"/>
    </w:rPr>
  </w:style>
  <w:style w:type="character" w:customStyle="1" w:styleId="Heading4Char">
    <w:name w:val="Heading 4 Char"/>
    <w:basedOn w:val="DefaultParagraphFont"/>
    <w:link w:val="Heading4"/>
    <w:uiPriority w:val="9"/>
    <w:semiHidden/>
    <w:rsid w:val="0071569A"/>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71569A"/>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71569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71569A"/>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71569A"/>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71569A"/>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71569A"/>
    <w:rPr>
      <w:b/>
      <w:bCs/>
      <w:sz w:val="18"/>
      <w:szCs w:val="18"/>
    </w:rPr>
  </w:style>
  <w:style w:type="paragraph" w:styleId="Title">
    <w:name w:val="Title"/>
    <w:basedOn w:val="Normal"/>
    <w:next w:val="Normal"/>
    <w:link w:val="TitleChar"/>
    <w:uiPriority w:val="10"/>
    <w:qFormat/>
    <w:rsid w:val="0071569A"/>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71569A"/>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71569A"/>
    <w:pPr>
      <w:spacing w:after="900"/>
      <w:jc w:val="right"/>
    </w:pPr>
    <w:rPr>
      <w:i/>
      <w:iCs/>
      <w:sz w:val="24"/>
      <w:szCs w:val="24"/>
    </w:rPr>
  </w:style>
  <w:style w:type="character" w:customStyle="1" w:styleId="SubtitleChar">
    <w:name w:val="Subtitle Char"/>
    <w:basedOn w:val="DefaultParagraphFont"/>
    <w:link w:val="Subtitle"/>
    <w:uiPriority w:val="11"/>
    <w:rsid w:val="0071569A"/>
    <w:rPr>
      <w:i/>
      <w:iCs/>
      <w:sz w:val="24"/>
      <w:szCs w:val="24"/>
    </w:rPr>
  </w:style>
  <w:style w:type="character" w:styleId="Strong">
    <w:name w:val="Strong"/>
    <w:basedOn w:val="DefaultParagraphFont"/>
    <w:uiPriority w:val="22"/>
    <w:qFormat/>
    <w:rsid w:val="0071569A"/>
    <w:rPr>
      <w:b/>
      <w:bCs/>
      <w:spacing w:val="0"/>
    </w:rPr>
  </w:style>
  <w:style w:type="character" w:styleId="Emphasis">
    <w:name w:val="Emphasis"/>
    <w:uiPriority w:val="20"/>
    <w:qFormat/>
    <w:rsid w:val="0071569A"/>
    <w:rPr>
      <w:b/>
      <w:bCs/>
      <w:i/>
      <w:iCs/>
      <w:color w:val="5A5A5A" w:themeColor="text1" w:themeTint="A5"/>
    </w:rPr>
  </w:style>
  <w:style w:type="character" w:customStyle="1" w:styleId="NoSpacingChar">
    <w:name w:val="No Spacing Char"/>
    <w:basedOn w:val="DefaultParagraphFont"/>
    <w:link w:val="NoSpacing"/>
    <w:uiPriority w:val="1"/>
    <w:rsid w:val="0071569A"/>
  </w:style>
  <w:style w:type="paragraph" w:styleId="ListParagraph">
    <w:name w:val="List Paragraph"/>
    <w:basedOn w:val="Normal"/>
    <w:uiPriority w:val="34"/>
    <w:qFormat/>
    <w:rsid w:val="0071569A"/>
    <w:pPr>
      <w:ind w:left="720"/>
      <w:contextualSpacing/>
    </w:pPr>
  </w:style>
  <w:style w:type="paragraph" w:styleId="Quote">
    <w:name w:val="Quote"/>
    <w:basedOn w:val="Normal"/>
    <w:next w:val="Normal"/>
    <w:link w:val="QuoteChar"/>
    <w:uiPriority w:val="29"/>
    <w:qFormat/>
    <w:rsid w:val="0071569A"/>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71569A"/>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71569A"/>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71569A"/>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71569A"/>
    <w:rPr>
      <w:i/>
      <w:iCs/>
      <w:color w:val="5A5A5A" w:themeColor="text1" w:themeTint="A5"/>
    </w:rPr>
  </w:style>
  <w:style w:type="character" w:styleId="IntenseEmphasis">
    <w:name w:val="Intense Emphasis"/>
    <w:uiPriority w:val="21"/>
    <w:qFormat/>
    <w:rsid w:val="0071569A"/>
    <w:rPr>
      <w:b/>
      <w:bCs/>
      <w:i/>
      <w:iCs/>
      <w:color w:val="4F81BD" w:themeColor="accent1"/>
      <w:sz w:val="22"/>
      <w:szCs w:val="22"/>
    </w:rPr>
  </w:style>
  <w:style w:type="character" w:styleId="SubtleReference">
    <w:name w:val="Subtle Reference"/>
    <w:uiPriority w:val="31"/>
    <w:qFormat/>
    <w:rsid w:val="0071569A"/>
    <w:rPr>
      <w:color w:val="auto"/>
      <w:u w:val="single" w:color="9BBB59" w:themeColor="accent3"/>
    </w:rPr>
  </w:style>
  <w:style w:type="character" w:styleId="IntenseReference">
    <w:name w:val="Intense Reference"/>
    <w:basedOn w:val="DefaultParagraphFont"/>
    <w:uiPriority w:val="32"/>
    <w:qFormat/>
    <w:rsid w:val="0071569A"/>
    <w:rPr>
      <w:b/>
      <w:bCs/>
      <w:color w:val="76923C" w:themeColor="accent3" w:themeShade="BF"/>
      <w:u w:val="single" w:color="9BBB59" w:themeColor="accent3"/>
    </w:rPr>
  </w:style>
  <w:style w:type="character" w:styleId="BookTitle">
    <w:name w:val="Book Title"/>
    <w:basedOn w:val="DefaultParagraphFont"/>
    <w:uiPriority w:val="33"/>
    <w:qFormat/>
    <w:rsid w:val="0071569A"/>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71569A"/>
    <w:pPr>
      <w:outlineLvl w:val="9"/>
    </w:pPr>
    <w:rPr>
      <w:lang w:bidi="en-US"/>
    </w:rPr>
  </w:style>
  <w:style w:type="paragraph" w:customStyle="1" w:styleId="EX-No-Tab">
    <w:name w:val="EX-No-Tab"/>
    <w:basedOn w:val="Normal"/>
    <w:link w:val="EX-No-TabChar"/>
    <w:qFormat/>
    <w:rsid w:val="0071569A"/>
    <w:rPr>
      <w:color w:val="0070C0"/>
    </w:rPr>
  </w:style>
  <w:style w:type="character" w:customStyle="1" w:styleId="EX-No-TabChar">
    <w:name w:val="EX-No-Tab Char"/>
    <w:basedOn w:val="DefaultParagraphFont"/>
    <w:link w:val="EX-No-Tab"/>
    <w:rsid w:val="0071569A"/>
    <w:rPr>
      <w:color w:val="0070C0"/>
    </w:rPr>
  </w:style>
  <w:style w:type="paragraph" w:customStyle="1" w:styleId="Ex-Tab">
    <w:name w:val="Ex-Tab"/>
    <w:basedOn w:val="Normal-Tab"/>
    <w:link w:val="Ex-TabChar"/>
    <w:qFormat/>
    <w:rsid w:val="0071569A"/>
    <w:rPr>
      <w:color w:val="0070C0"/>
    </w:rPr>
  </w:style>
  <w:style w:type="character" w:customStyle="1" w:styleId="Ex-TabChar">
    <w:name w:val="Ex-Tab Char"/>
    <w:basedOn w:val="Normal-TabChar"/>
    <w:link w:val="Ex-Tab"/>
    <w:rsid w:val="0071569A"/>
    <w:rPr>
      <w:color w:val="0070C0"/>
      <w:kern w:val="24"/>
    </w:rPr>
  </w:style>
  <w:style w:type="paragraph" w:customStyle="1" w:styleId="Ex-No-Space">
    <w:name w:val="Ex-No-Space"/>
    <w:basedOn w:val="NoSpacing"/>
    <w:link w:val="Ex-No-SpaceChar"/>
    <w:qFormat/>
    <w:rsid w:val="0071569A"/>
    <w:rPr>
      <w:color w:val="0070C0"/>
    </w:rPr>
  </w:style>
  <w:style w:type="character" w:customStyle="1" w:styleId="Ex-No-SpaceChar">
    <w:name w:val="Ex-No-Space Char"/>
    <w:basedOn w:val="NoSpacingChar"/>
    <w:link w:val="Ex-No-Space"/>
    <w:rsid w:val="0071569A"/>
    <w:rPr>
      <w:color w:val="0070C0"/>
    </w:rPr>
  </w:style>
  <w:style w:type="character" w:customStyle="1" w:styleId="Normal-TabChar">
    <w:name w:val="Normal-Tab Char"/>
    <w:basedOn w:val="DefaultParagraphFont"/>
    <w:link w:val="Normal-Tab"/>
    <w:rsid w:val="0071569A"/>
    <w:rPr>
      <w:kern w:val="24"/>
    </w:rPr>
  </w:style>
  <w:style w:type="paragraph" w:customStyle="1" w:styleId="Default">
    <w:name w:val="Default"/>
    <w:rsid w:val="00FC2E0B"/>
    <w:pPr>
      <w:autoSpaceDE w:val="0"/>
      <w:autoSpaceDN w:val="0"/>
      <w:adjustRightInd w:val="0"/>
      <w:spacing w:line="240" w:lineRule="auto"/>
    </w:pPr>
    <w:rPr>
      <w:rFonts w:ascii="Times New Roman" w:hAnsi="Times New Roman" w:cs="Times New Roman"/>
      <w:color w:val="000000"/>
      <w:sz w:val="24"/>
      <w:szCs w:val="24"/>
    </w:rPr>
  </w:style>
  <w:style w:type="table" w:styleId="TableGrid">
    <w:name w:val="Table Grid"/>
    <w:basedOn w:val="TableNormal"/>
    <w:uiPriority w:val="59"/>
    <w:rsid w:val="00A4153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semiHidden/>
    <w:unhideWhenUsed/>
    <w:rsid w:val="00B435A1"/>
  </w:style>
  <w:style w:type="character" w:customStyle="1" w:styleId="DateChar">
    <w:name w:val="Date Char"/>
    <w:basedOn w:val="DefaultParagraphFont"/>
    <w:link w:val="Date"/>
    <w:uiPriority w:val="99"/>
    <w:semiHidden/>
    <w:rsid w:val="00B435A1"/>
  </w:style>
  <w:style w:type="paragraph" w:styleId="NormalWeb">
    <w:name w:val="Normal (Web)"/>
    <w:basedOn w:val="Normal"/>
    <w:uiPriority w:val="99"/>
    <w:unhideWhenUsed/>
    <w:rsid w:val="00D004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5388">
      <w:bodyDiv w:val="1"/>
      <w:marLeft w:val="0"/>
      <w:marRight w:val="0"/>
      <w:marTop w:val="0"/>
      <w:marBottom w:val="0"/>
      <w:divBdr>
        <w:top w:val="none" w:sz="0" w:space="0" w:color="auto"/>
        <w:left w:val="none" w:sz="0" w:space="0" w:color="auto"/>
        <w:bottom w:val="none" w:sz="0" w:space="0" w:color="auto"/>
        <w:right w:val="none" w:sz="0" w:space="0" w:color="auto"/>
      </w:divBdr>
    </w:div>
    <w:div w:id="283852372">
      <w:bodyDiv w:val="1"/>
      <w:marLeft w:val="0"/>
      <w:marRight w:val="0"/>
      <w:marTop w:val="0"/>
      <w:marBottom w:val="0"/>
      <w:divBdr>
        <w:top w:val="none" w:sz="0" w:space="0" w:color="auto"/>
        <w:left w:val="none" w:sz="0" w:space="0" w:color="auto"/>
        <w:bottom w:val="none" w:sz="0" w:space="0" w:color="auto"/>
        <w:right w:val="none" w:sz="0" w:space="0" w:color="auto"/>
      </w:divBdr>
    </w:div>
    <w:div w:id="631982622">
      <w:bodyDiv w:val="1"/>
      <w:marLeft w:val="0"/>
      <w:marRight w:val="0"/>
      <w:marTop w:val="0"/>
      <w:marBottom w:val="0"/>
      <w:divBdr>
        <w:top w:val="none" w:sz="0" w:space="0" w:color="auto"/>
        <w:left w:val="none" w:sz="0" w:space="0" w:color="auto"/>
        <w:bottom w:val="none" w:sz="0" w:space="0" w:color="auto"/>
        <w:right w:val="none" w:sz="0" w:space="0" w:color="auto"/>
      </w:divBdr>
    </w:div>
    <w:div w:id="767584950">
      <w:bodyDiv w:val="1"/>
      <w:marLeft w:val="0"/>
      <w:marRight w:val="0"/>
      <w:marTop w:val="0"/>
      <w:marBottom w:val="0"/>
      <w:divBdr>
        <w:top w:val="none" w:sz="0" w:space="0" w:color="auto"/>
        <w:left w:val="none" w:sz="0" w:space="0" w:color="auto"/>
        <w:bottom w:val="none" w:sz="0" w:space="0" w:color="auto"/>
        <w:right w:val="none" w:sz="0" w:space="0" w:color="auto"/>
      </w:divBdr>
      <w:divsChild>
        <w:div w:id="1672949551">
          <w:marLeft w:val="547"/>
          <w:marRight w:val="0"/>
          <w:marTop w:val="96"/>
          <w:marBottom w:val="0"/>
          <w:divBdr>
            <w:top w:val="none" w:sz="0" w:space="0" w:color="auto"/>
            <w:left w:val="none" w:sz="0" w:space="0" w:color="auto"/>
            <w:bottom w:val="none" w:sz="0" w:space="0" w:color="auto"/>
            <w:right w:val="none" w:sz="0" w:space="0" w:color="auto"/>
          </w:divBdr>
        </w:div>
        <w:div w:id="1810970807">
          <w:marLeft w:val="1166"/>
          <w:marRight w:val="0"/>
          <w:marTop w:val="82"/>
          <w:marBottom w:val="0"/>
          <w:divBdr>
            <w:top w:val="none" w:sz="0" w:space="0" w:color="auto"/>
            <w:left w:val="none" w:sz="0" w:space="0" w:color="auto"/>
            <w:bottom w:val="none" w:sz="0" w:space="0" w:color="auto"/>
            <w:right w:val="none" w:sz="0" w:space="0" w:color="auto"/>
          </w:divBdr>
        </w:div>
        <w:div w:id="233928541">
          <w:marLeft w:val="547"/>
          <w:marRight w:val="0"/>
          <w:marTop w:val="96"/>
          <w:marBottom w:val="0"/>
          <w:divBdr>
            <w:top w:val="none" w:sz="0" w:space="0" w:color="auto"/>
            <w:left w:val="none" w:sz="0" w:space="0" w:color="auto"/>
            <w:bottom w:val="none" w:sz="0" w:space="0" w:color="auto"/>
            <w:right w:val="none" w:sz="0" w:space="0" w:color="auto"/>
          </w:divBdr>
        </w:div>
        <w:div w:id="951861504">
          <w:marLeft w:val="1166"/>
          <w:marRight w:val="0"/>
          <w:marTop w:val="82"/>
          <w:marBottom w:val="0"/>
          <w:divBdr>
            <w:top w:val="none" w:sz="0" w:space="0" w:color="auto"/>
            <w:left w:val="none" w:sz="0" w:space="0" w:color="auto"/>
            <w:bottom w:val="none" w:sz="0" w:space="0" w:color="auto"/>
            <w:right w:val="none" w:sz="0" w:space="0" w:color="auto"/>
          </w:divBdr>
        </w:div>
        <w:div w:id="1937978583">
          <w:marLeft w:val="547"/>
          <w:marRight w:val="0"/>
          <w:marTop w:val="96"/>
          <w:marBottom w:val="0"/>
          <w:divBdr>
            <w:top w:val="none" w:sz="0" w:space="0" w:color="auto"/>
            <w:left w:val="none" w:sz="0" w:space="0" w:color="auto"/>
            <w:bottom w:val="none" w:sz="0" w:space="0" w:color="auto"/>
            <w:right w:val="none" w:sz="0" w:space="0" w:color="auto"/>
          </w:divBdr>
        </w:div>
        <w:div w:id="1481078168">
          <w:marLeft w:val="1166"/>
          <w:marRight w:val="0"/>
          <w:marTop w:val="82"/>
          <w:marBottom w:val="0"/>
          <w:divBdr>
            <w:top w:val="none" w:sz="0" w:space="0" w:color="auto"/>
            <w:left w:val="none" w:sz="0" w:space="0" w:color="auto"/>
            <w:bottom w:val="none" w:sz="0" w:space="0" w:color="auto"/>
            <w:right w:val="none" w:sz="0" w:space="0" w:color="auto"/>
          </w:divBdr>
        </w:div>
        <w:div w:id="636184122">
          <w:marLeft w:val="547"/>
          <w:marRight w:val="0"/>
          <w:marTop w:val="96"/>
          <w:marBottom w:val="0"/>
          <w:divBdr>
            <w:top w:val="none" w:sz="0" w:space="0" w:color="auto"/>
            <w:left w:val="none" w:sz="0" w:space="0" w:color="auto"/>
            <w:bottom w:val="none" w:sz="0" w:space="0" w:color="auto"/>
            <w:right w:val="none" w:sz="0" w:space="0" w:color="auto"/>
          </w:divBdr>
        </w:div>
        <w:div w:id="420613363">
          <w:marLeft w:val="1166"/>
          <w:marRight w:val="0"/>
          <w:marTop w:val="82"/>
          <w:marBottom w:val="0"/>
          <w:divBdr>
            <w:top w:val="none" w:sz="0" w:space="0" w:color="auto"/>
            <w:left w:val="none" w:sz="0" w:space="0" w:color="auto"/>
            <w:bottom w:val="none" w:sz="0" w:space="0" w:color="auto"/>
            <w:right w:val="none" w:sz="0" w:space="0" w:color="auto"/>
          </w:divBdr>
        </w:div>
        <w:div w:id="200634635">
          <w:marLeft w:val="547"/>
          <w:marRight w:val="0"/>
          <w:marTop w:val="96"/>
          <w:marBottom w:val="0"/>
          <w:divBdr>
            <w:top w:val="none" w:sz="0" w:space="0" w:color="auto"/>
            <w:left w:val="none" w:sz="0" w:space="0" w:color="auto"/>
            <w:bottom w:val="none" w:sz="0" w:space="0" w:color="auto"/>
            <w:right w:val="none" w:sz="0" w:space="0" w:color="auto"/>
          </w:divBdr>
        </w:div>
        <w:div w:id="1449662128">
          <w:marLeft w:val="1166"/>
          <w:marRight w:val="0"/>
          <w:marTop w:val="82"/>
          <w:marBottom w:val="0"/>
          <w:divBdr>
            <w:top w:val="none" w:sz="0" w:space="0" w:color="auto"/>
            <w:left w:val="none" w:sz="0" w:space="0" w:color="auto"/>
            <w:bottom w:val="none" w:sz="0" w:space="0" w:color="auto"/>
            <w:right w:val="none" w:sz="0" w:space="0" w:color="auto"/>
          </w:divBdr>
        </w:div>
        <w:div w:id="1101023953">
          <w:marLeft w:val="547"/>
          <w:marRight w:val="0"/>
          <w:marTop w:val="96"/>
          <w:marBottom w:val="0"/>
          <w:divBdr>
            <w:top w:val="none" w:sz="0" w:space="0" w:color="auto"/>
            <w:left w:val="none" w:sz="0" w:space="0" w:color="auto"/>
            <w:bottom w:val="none" w:sz="0" w:space="0" w:color="auto"/>
            <w:right w:val="none" w:sz="0" w:space="0" w:color="auto"/>
          </w:divBdr>
        </w:div>
        <w:div w:id="1841189041">
          <w:marLeft w:val="1166"/>
          <w:marRight w:val="0"/>
          <w:marTop w:val="82"/>
          <w:marBottom w:val="0"/>
          <w:divBdr>
            <w:top w:val="none" w:sz="0" w:space="0" w:color="auto"/>
            <w:left w:val="none" w:sz="0" w:space="0" w:color="auto"/>
            <w:bottom w:val="none" w:sz="0" w:space="0" w:color="auto"/>
            <w:right w:val="none" w:sz="0" w:space="0" w:color="auto"/>
          </w:divBdr>
        </w:div>
      </w:divsChild>
    </w:div>
    <w:div w:id="1265191259">
      <w:bodyDiv w:val="1"/>
      <w:marLeft w:val="0"/>
      <w:marRight w:val="0"/>
      <w:marTop w:val="0"/>
      <w:marBottom w:val="0"/>
      <w:divBdr>
        <w:top w:val="none" w:sz="0" w:space="0" w:color="auto"/>
        <w:left w:val="none" w:sz="0" w:space="0" w:color="auto"/>
        <w:bottom w:val="none" w:sz="0" w:space="0" w:color="auto"/>
        <w:right w:val="none" w:sz="0" w:space="0" w:color="auto"/>
      </w:divBdr>
    </w:div>
    <w:div w:id="1406103763">
      <w:bodyDiv w:val="1"/>
      <w:marLeft w:val="0"/>
      <w:marRight w:val="0"/>
      <w:marTop w:val="0"/>
      <w:marBottom w:val="0"/>
      <w:divBdr>
        <w:top w:val="none" w:sz="0" w:space="0" w:color="auto"/>
        <w:left w:val="none" w:sz="0" w:space="0" w:color="auto"/>
        <w:bottom w:val="none" w:sz="0" w:space="0" w:color="auto"/>
        <w:right w:val="none" w:sz="0" w:space="0" w:color="auto"/>
      </w:divBdr>
    </w:div>
    <w:div w:id="1689214607">
      <w:bodyDiv w:val="1"/>
      <w:marLeft w:val="0"/>
      <w:marRight w:val="0"/>
      <w:marTop w:val="0"/>
      <w:marBottom w:val="0"/>
      <w:divBdr>
        <w:top w:val="none" w:sz="0" w:space="0" w:color="auto"/>
        <w:left w:val="none" w:sz="0" w:space="0" w:color="auto"/>
        <w:bottom w:val="none" w:sz="0" w:space="0" w:color="auto"/>
        <w:right w:val="none" w:sz="0" w:space="0" w:color="auto"/>
      </w:divBdr>
    </w:div>
    <w:div w:id="169207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wu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Chwan-Hwa "John" Wu</dc:creator>
  <cp:lastModifiedBy>Chwan-Hwa "John" Wu</cp:lastModifiedBy>
  <cp:revision>23</cp:revision>
  <dcterms:created xsi:type="dcterms:W3CDTF">2012-10-23T14:17:00Z</dcterms:created>
  <dcterms:modified xsi:type="dcterms:W3CDTF">2012-11-16T17:50:00Z</dcterms:modified>
</cp:coreProperties>
</file>