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D73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181" w:afterLines="50" w:afterAutospacing="0"/>
        <w:jc w:val="center"/>
        <w:textAlignment w:val="auto"/>
        <w:rPr>
          <w:rFonts w:ascii="Palatino Linotype" w:hAnsi="Palatino Linotype"/>
          <w:b/>
          <w:sz w:val="32"/>
          <w:szCs w:val="44"/>
        </w:rPr>
      </w:pPr>
      <w:bookmarkStart w:id="0" w:name="OLE_LINK1"/>
      <w:bookmarkStart w:id="1" w:name="OLE_LINK2"/>
      <w:r>
        <w:rPr>
          <w:rFonts w:ascii="Palatino Linotype" w:hAnsi="Palatino Linotype"/>
          <w:b/>
          <w:sz w:val="22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5564505</wp:posOffset>
            </wp:positionH>
            <wp:positionV relativeFrom="paragraph">
              <wp:posOffset>-228600</wp:posOffset>
            </wp:positionV>
            <wp:extent cx="778510" cy="1089025"/>
            <wp:effectExtent l="0" t="0" r="2540" b="0"/>
            <wp:wrapNone/>
            <wp:docPr id="493213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13224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510" cy="108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Palatino Linotype" w:hAnsi="Palatino Linotype"/>
          <w:b/>
          <w:sz w:val="32"/>
          <w:szCs w:val="44"/>
        </w:rPr>
        <w:t>刘昕然</w:t>
      </w:r>
    </w:p>
    <w:p w14:paraId="30A74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Palatino Linotype" w:hAnsi="Palatino Linotype"/>
          <w:b/>
          <w:sz w:val="22"/>
          <w:szCs w:val="20"/>
        </w:rPr>
      </w:pPr>
      <w:r>
        <w:rPr>
          <w:rFonts w:hint="eastAsia" w:ascii="Palatino Linotype" w:hAnsi="Palatino Linotype" w:cs="宋体"/>
          <w:sz w:val="20"/>
          <w:szCs w:val="20"/>
        </w:rPr>
        <w:t>同济大学，</w:t>
      </w:r>
      <w:r>
        <w:rPr>
          <w:rFonts w:hint="eastAsia" w:ascii="Palatino Linotype" w:hAnsi="Palatino Linotype" w:eastAsiaTheme="minorEastAsia"/>
          <w:sz w:val="20"/>
          <w:szCs w:val="20"/>
        </w:rPr>
        <w:t>200092</w:t>
      </w:r>
      <w:r>
        <w:rPr>
          <w:rFonts w:ascii="Palatino Linotype" w:hAnsi="Palatino Linotype" w:eastAsia="Times New Roman"/>
          <w:sz w:val="20"/>
          <w:szCs w:val="20"/>
        </w:rPr>
        <w:t xml:space="preserve"> </w:t>
      </w:r>
      <w:r>
        <w:rPr>
          <w:rFonts w:hint="eastAsia" w:ascii="Palatino Linotype" w:hAnsi="Palatino Linotype" w:eastAsia="Times New Roman"/>
          <w:sz w:val="20"/>
          <w:szCs w:val="20"/>
        </w:rPr>
        <w:t>|</w:t>
      </w:r>
      <w:r>
        <w:rPr>
          <w:rFonts w:ascii="Palatino Linotype" w:hAnsi="Palatino Linotype" w:eastAsia="Times New Roman"/>
          <w:sz w:val="20"/>
          <w:szCs w:val="20"/>
        </w:rPr>
        <w:t xml:space="preserve"> </w:t>
      </w:r>
      <w:r>
        <w:rPr>
          <w:rFonts w:ascii="Palatino Linotype" w:hAnsi="Palatino Linotype" w:eastAsia="Times New Roman"/>
        </w:rPr>
        <w:t>(</w:t>
      </w:r>
      <w:r>
        <w:rPr>
          <w:rFonts w:ascii="Palatino Linotype" w:hAnsi="Palatino Linotype" w:eastAsiaTheme="minorEastAsia"/>
        </w:rPr>
        <w:t>86)</w:t>
      </w:r>
      <w:r>
        <w:rPr>
          <w:rFonts w:ascii="Palatino Linotype" w:hAnsi="Palatino Linotype" w:eastAsia="Times New Roman"/>
        </w:rPr>
        <w:t xml:space="preserve"> 151-3522-6959</w:t>
      </w:r>
      <w:r>
        <w:rPr>
          <w:rFonts w:ascii="Palatino Linotype" w:hAnsi="Palatino Linotype"/>
        </w:rPr>
        <w:t xml:space="preserve"> </w:t>
      </w:r>
      <w:r>
        <w:rPr>
          <w:rFonts w:hint="eastAsia" w:ascii="Palatino Linotype" w:hAnsi="Palatino Linotype"/>
          <w:sz w:val="20"/>
          <w:szCs w:val="20"/>
        </w:rPr>
        <w:t>|</w:t>
      </w:r>
      <w:r>
        <w:rPr>
          <w:rFonts w:ascii="Palatino Linotype" w:hAnsi="Palatino Linotype"/>
          <w:sz w:val="20"/>
          <w:szCs w:val="20"/>
        </w:rPr>
        <w:t xml:space="preserve"> </w:t>
      </w:r>
      <w:r>
        <w:rPr>
          <w:rFonts w:hint="eastAsia" w:ascii="Palatino Linotype" w:hAnsi="Palatino Linotype"/>
          <w:sz w:val="20"/>
          <w:szCs w:val="20"/>
        </w:rPr>
        <w:t>2533342@tongji</w:t>
      </w:r>
      <w:r>
        <w:rPr>
          <w:rFonts w:ascii="Palatino Linotype" w:hAnsi="Palatino Linotype"/>
          <w:sz w:val="20"/>
          <w:szCs w:val="20"/>
        </w:rPr>
        <w:t>.ed</w:t>
      </w:r>
      <w:r>
        <w:rPr>
          <w:rFonts w:hint="eastAsia" w:ascii="Palatino Linotype" w:hAnsi="Palatino Linotype"/>
          <w:sz w:val="20"/>
          <w:szCs w:val="20"/>
        </w:rPr>
        <w:t>u.cn</w:t>
      </w:r>
    </w:p>
    <w:p w14:paraId="1D65BBA5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96" w:lineRule="exact"/>
        <w:textAlignment w:val="auto"/>
        <w:rPr>
          <w:rFonts w:ascii="Palatino Linotype" w:hAnsi="Palatino Linotype"/>
          <w:b/>
          <w:sz w:val="22"/>
          <w:szCs w:val="20"/>
        </w:rPr>
      </w:pPr>
      <w:r>
        <w:rPr>
          <w:rFonts w:hint="eastAsia" w:ascii="Palatino Linotype" w:hAnsi="Palatino Linotype"/>
          <w:b/>
          <w:sz w:val="22"/>
          <w:szCs w:val="20"/>
        </w:rPr>
        <w:t>教育经历</w:t>
      </w:r>
    </w:p>
    <w:p w14:paraId="62DC590B">
      <w:pPr>
        <w:pStyle w:val="35"/>
        <w:spacing w:before="36" w:beforeLines="15" w:line="252" w:lineRule="auto"/>
        <w:rPr>
          <w:rFonts w:ascii="Palatino Linotype" w:hAnsi="Palatino Linotype"/>
          <w:b/>
          <w:bCs/>
          <w:sz w:val="20"/>
          <w:szCs w:val="20"/>
        </w:rPr>
      </w:pPr>
      <w:r>
        <w:rPr>
          <w:rFonts w:hint="eastAsia" w:ascii="Palatino Linotype" w:hAnsi="Palatino Linotype"/>
          <w:b/>
          <w:bCs/>
          <w:sz w:val="20"/>
          <w:szCs w:val="20"/>
        </w:rPr>
        <w:t>天津</w:t>
      </w:r>
      <w:r>
        <w:rPr>
          <w:rFonts w:ascii="Palatino Linotype" w:hAnsi="Palatino Linotype"/>
          <w:b/>
          <w:bCs/>
          <w:sz w:val="20"/>
          <w:szCs w:val="20"/>
        </w:rPr>
        <w:t>大学</w:t>
      </w:r>
      <w:r>
        <w:rPr>
          <w:rFonts w:hint="eastAsia" w:ascii="Palatino Linotype" w:hAnsi="Palatino Linotype"/>
          <w:b/>
          <w:bCs/>
          <w:sz w:val="20"/>
          <w:szCs w:val="20"/>
        </w:rPr>
        <w:t>，建筑</w:t>
      </w:r>
      <w:r>
        <w:rPr>
          <w:rFonts w:ascii="Palatino Linotype" w:hAnsi="Palatino Linotype"/>
          <w:b/>
          <w:bCs/>
          <w:sz w:val="20"/>
          <w:szCs w:val="20"/>
        </w:rPr>
        <w:t>学院</w:t>
      </w:r>
      <w:r>
        <w:rPr>
          <w:rFonts w:hint="eastAsia" w:ascii="Palatino Linotype" w:hAnsi="Palatino Linotype"/>
          <w:b/>
          <w:bCs/>
          <w:sz w:val="20"/>
          <w:szCs w:val="20"/>
        </w:rPr>
        <w:t>，建筑学专业2025届本科生</w:t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hint="eastAsia" w:ascii="Palatino Linotype" w:hAnsi="Palatino Linotype"/>
          <w:sz w:val="20"/>
          <w:szCs w:val="20"/>
        </w:rPr>
        <w:t>20</w:t>
      </w:r>
      <w:r>
        <w:rPr>
          <w:rFonts w:ascii="Palatino Linotype" w:hAnsi="Palatino Linotype"/>
          <w:sz w:val="20"/>
          <w:szCs w:val="20"/>
        </w:rPr>
        <w:t>20</w:t>
      </w:r>
      <w:r>
        <w:rPr>
          <w:rFonts w:hint="eastAsia" w:ascii="Palatino Linotype" w:hAnsi="Palatino Linotype"/>
          <w:sz w:val="20"/>
          <w:szCs w:val="20"/>
        </w:rPr>
        <w:t>.9-2025.6</w:t>
      </w:r>
      <w:r>
        <w:rPr>
          <w:rFonts w:ascii="Palatino Linotype" w:hAnsi="Palatino Linotype"/>
          <w:b/>
          <w:bCs/>
          <w:sz w:val="20"/>
          <w:szCs w:val="20"/>
        </w:rPr>
        <w:t xml:space="preserve"> </w:t>
      </w:r>
    </w:p>
    <w:p w14:paraId="3A50EC5D">
      <w:pPr>
        <w:pStyle w:val="35"/>
        <w:numPr>
          <w:ilvl w:val="0"/>
          <w:numId w:val="1"/>
        </w:numPr>
        <w:spacing w:before="36" w:beforeLines="15" w:line="252" w:lineRule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G</w:t>
      </w:r>
      <w:r>
        <w:rPr>
          <w:rFonts w:ascii="Palatino Linotype" w:hAnsi="Palatino Linotype"/>
          <w:sz w:val="20"/>
          <w:szCs w:val="20"/>
        </w:rPr>
        <w:t>PA：</w:t>
      </w:r>
      <w:r>
        <w:rPr>
          <w:rFonts w:hint="eastAsia" w:ascii="Palatino Linotype" w:hAnsi="Palatino Linotype"/>
          <w:sz w:val="20"/>
          <w:szCs w:val="20"/>
        </w:rPr>
        <w:t>3</w:t>
      </w:r>
      <w:r>
        <w:rPr>
          <w:rFonts w:ascii="Palatino Linotype" w:hAnsi="Palatino Linotype"/>
          <w:sz w:val="20"/>
          <w:szCs w:val="20"/>
        </w:rPr>
        <w:t>.8</w:t>
      </w:r>
      <w:r>
        <w:rPr>
          <w:rFonts w:hint="eastAsia" w:ascii="Palatino Linotype" w:hAnsi="Palatino Linotype"/>
          <w:sz w:val="20"/>
          <w:szCs w:val="20"/>
        </w:rPr>
        <w:t>1</w:t>
      </w:r>
      <w:r>
        <w:rPr>
          <w:rFonts w:ascii="Palatino Linotype" w:hAnsi="Palatino Linotype"/>
          <w:sz w:val="20"/>
          <w:szCs w:val="20"/>
        </w:rPr>
        <w:t>/4</w:t>
      </w:r>
      <w:r>
        <w:rPr>
          <w:rFonts w:hint="eastAsia" w:ascii="Palatino Linotype" w:hAnsi="Palatino Linotype"/>
          <w:sz w:val="20"/>
          <w:szCs w:val="20"/>
        </w:rPr>
        <w:t xml:space="preserve">.00   </w:t>
      </w:r>
      <w:r>
        <w:rPr>
          <w:rFonts w:hint="eastAsia" w:ascii="Palatino Linotype" w:hAnsi="Palatino Linotype"/>
          <w:b/>
          <w:bCs/>
          <w:sz w:val="20"/>
          <w:szCs w:val="20"/>
        </w:rPr>
        <w:t>成绩排名：</w:t>
      </w:r>
      <w:r>
        <w:rPr>
          <w:rFonts w:hint="eastAsia" w:ascii="Palatino Linotype" w:hAnsi="Palatino Linotype"/>
          <w:sz w:val="20"/>
          <w:szCs w:val="20"/>
        </w:rPr>
        <w:t>4/102</w:t>
      </w:r>
    </w:p>
    <w:p w14:paraId="08758892">
      <w:pPr>
        <w:pStyle w:val="35"/>
        <w:numPr>
          <w:ilvl w:val="0"/>
          <w:numId w:val="1"/>
        </w:numPr>
        <w:tabs>
          <w:tab w:val="left" w:pos="283"/>
          <w:tab w:val="left" w:pos="360"/>
        </w:tabs>
        <w:spacing w:line="252" w:lineRule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荣誉与奖项：国家奖学金，2</w:t>
      </w:r>
      <w:r>
        <w:rPr>
          <w:rFonts w:ascii="Palatino Linotype" w:hAnsi="Palatino Linotype"/>
          <w:sz w:val="20"/>
          <w:szCs w:val="20"/>
        </w:rPr>
        <w:t>022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-</w:t>
      </w:r>
      <w:r>
        <w:rPr>
          <w:rFonts w:hint="eastAsia" w:ascii="Palatino Linotype" w:hAnsi="Palatino Linotype"/>
          <w:sz w:val="20"/>
          <w:szCs w:val="20"/>
        </w:rPr>
        <w:t>2</w:t>
      </w:r>
      <w:r>
        <w:rPr>
          <w:rFonts w:ascii="Palatino Linotype" w:hAnsi="Palatino Linotype"/>
          <w:sz w:val="20"/>
          <w:szCs w:val="20"/>
        </w:rPr>
        <w:t>023</w:t>
      </w:r>
      <w:r>
        <w:rPr>
          <w:rFonts w:hint="eastAsia" w:ascii="Palatino Linotype" w:hAnsi="Palatino Linotype"/>
          <w:sz w:val="20"/>
          <w:szCs w:val="20"/>
        </w:rPr>
        <w:t>学年天津大学三好学生，徐中奖学金银奖</w:t>
      </w:r>
    </w:p>
    <w:p w14:paraId="4E34AC89">
      <w:pPr>
        <w:pStyle w:val="35"/>
        <w:spacing w:before="36" w:beforeLines="15" w:line="252" w:lineRule="auto"/>
        <w:rPr>
          <w:rFonts w:ascii="Palatino Linotype" w:hAnsi="Palatino Linotype"/>
          <w:b/>
          <w:bCs/>
          <w:sz w:val="20"/>
          <w:szCs w:val="20"/>
        </w:rPr>
      </w:pPr>
      <w:r>
        <w:rPr>
          <w:rFonts w:hint="eastAsia" w:ascii="Palatino Linotype" w:hAnsi="Palatino Linotype"/>
          <w:b/>
          <w:bCs/>
          <w:sz w:val="20"/>
          <w:szCs w:val="20"/>
        </w:rPr>
        <w:t>同济</w:t>
      </w:r>
      <w:r>
        <w:rPr>
          <w:rFonts w:ascii="Palatino Linotype" w:hAnsi="Palatino Linotype"/>
          <w:b/>
          <w:bCs/>
          <w:sz w:val="20"/>
          <w:szCs w:val="20"/>
        </w:rPr>
        <w:t>大学</w:t>
      </w:r>
      <w:r>
        <w:rPr>
          <w:rFonts w:hint="eastAsia" w:ascii="Palatino Linotype" w:hAnsi="Palatino Linotype"/>
          <w:b/>
          <w:bCs/>
          <w:sz w:val="20"/>
          <w:szCs w:val="20"/>
        </w:rPr>
        <w:t>，设计创意</w:t>
      </w:r>
      <w:r>
        <w:rPr>
          <w:rFonts w:ascii="Palatino Linotype" w:hAnsi="Palatino Linotype"/>
          <w:b/>
          <w:bCs/>
          <w:sz w:val="20"/>
          <w:szCs w:val="20"/>
        </w:rPr>
        <w:t>学院</w:t>
      </w:r>
      <w:r>
        <w:rPr>
          <w:rFonts w:hint="eastAsia" w:ascii="Palatino Linotype" w:hAnsi="Palatino Linotype"/>
          <w:b/>
          <w:bCs/>
          <w:sz w:val="20"/>
          <w:szCs w:val="20"/>
        </w:rPr>
        <w:t>，设计学</w:t>
      </w:r>
      <w:r>
        <w:rPr>
          <w:rFonts w:hint="eastAsia" w:ascii="Palatino Linotype" w:hAnsi="Palatino Linotype"/>
          <w:b/>
          <w:bCs/>
          <w:sz w:val="20"/>
          <w:szCs w:val="20"/>
          <w:lang w:eastAsia="zh-CN"/>
        </w:rPr>
        <w:t>（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交叉学科140300）</w:t>
      </w:r>
      <w:r>
        <w:rPr>
          <w:rFonts w:hint="eastAsia" w:ascii="Palatino Linotype" w:hAnsi="Palatino Linotype"/>
          <w:b/>
          <w:bCs/>
          <w:sz w:val="20"/>
          <w:szCs w:val="20"/>
        </w:rPr>
        <w:t>专业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28届</w:t>
      </w:r>
      <w:r>
        <w:rPr>
          <w:rFonts w:hint="eastAsia" w:ascii="Palatino Linotype" w:hAnsi="Palatino Linotype"/>
          <w:b/>
          <w:bCs/>
          <w:sz w:val="20"/>
          <w:szCs w:val="20"/>
        </w:rPr>
        <w:t>硕士生</w:t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hint="eastAsia" w:ascii="Palatino Linotype" w:hAnsi="Palatino Linotype"/>
          <w:sz w:val="20"/>
          <w:szCs w:val="20"/>
        </w:rPr>
        <w:t>20</w:t>
      </w:r>
      <w:r>
        <w:rPr>
          <w:rFonts w:ascii="Palatino Linotype" w:hAnsi="Palatino Linotype"/>
          <w:sz w:val="20"/>
          <w:szCs w:val="20"/>
        </w:rPr>
        <w:t>2</w:t>
      </w:r>
      <w:r>
        <w:rPr>
          <w:rFonts w:hint="eastAsia" w:ascii="Palatino Linotype" w:hAnsi="Palatino Linotype"/>
          <w:sz w:val="20"/>
          <w:szCs w:val="20"/>
        </w:rPr>
        <w:t>5.9至今</w:t>
      </w:r>
    </w:p>
    <w:p w14:paraId="1C676B6E">
      <w:pPr>
        <w:pStyle w:val="35"/>
        <w:numPr>
          <w:ilvl w:val="0"/>
          <w:numId w:val="1"/>
        </w:numPr>
        <w:tabs>
          <w:tab w:val="left" w:pos="283"/>
          <w:tab w:val="left" w:pos="360"/>
        </w:tabs>
        <w:spacing w:line="252" w:lineRule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  <w:lang w:val="en-US" w:eastAsia="zh-CN"/>
        </w:rPr>
        <w:t>服务创新实验室在读</w:t>
      </w:r>
      <w:bookmarkStart w:id="2" w:name="_GoBack"/>
      <w:bookmarkEnd w:id="2"/>
      <w:r>
        <w:rPr>
          <w:rFonts w:hint="eastAsia" w:ascii="Palatino Linotype" w:hAnsi="Palatino Linotype"/>
          <w:sz w:val="20"/>
          <w:szCs w:val="20"/>
          <w:lang w:val="en-US" w:eastAsia="zh-CN"/>
        </w:rPr>
        <w:t>。</w:t>
      </w:r>
      <w:r>
        <w:rPr>
          <w:rFonts w:hint="eastAsia" w:ascii="Palatino Linotype" w:hAnsi="Palatino Linotype"/>
          <w:sz w:val="20"/>
          <w:szCs w:val="20"/>
        </w:rPr>
        <w:t>研究兴趣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为</w:t>
      </w:r>
      <w:r>
        <w:rPr>
          <w:rFonts w:hint="eastAsia" w:ascii="Palatino Linotype" w:hAnsi="Palatino Linotype"/>
          <w:sz w:val="20"/>
          <w:szCs w:val="20"/>
        </w:rPr>
        <w:t>交互设计</w:t>
      </w:r>
      <w:r>
        <w:rPr>
          <w:rFonts w:hint="eastAsia" w:ascii="Palatino Linotype" w:hAnsi="Palatino Linotype"/>
          <w:sz w:val="20"/>
          <w:szCs w:val="20"/>
          <w:lang w:eastAsia="zh-CN"/>
        </w:rPr>
        <w:t>、</w:t>
      </w:r>
      <w:r>
        <w:rPr>
          <w:rFonts w:hint="eastAsia" w:ascii="Palatino Linotype" w:hAnsi="Palatino Linotype"/>
          <w:sz w:val="20"/>
          <w:szCs w:val="20"/>
        </w:rPr>
        <w:t>用户体验设计</w:t>
      </w:r>
      <w:r>
        <w:rPr>
          <w:rFonts w:hint="eastAsia" w:ascii="Palatino Linotype" w:hAnsi="Palatino Linotype"/>
          <w:sz w:val="20"/>
          <w:szCs w:val="20"/>
          <w:lang w:eastAsia="zh-CN"/>
        </w:rPr>
        <w:t>、</w:t>
      </w:r>
      <w:r>
        <w:rPr>
          <w:rFonts w:hint="default" w:ascii="Palatino Linotype" w:hAnsi="Palatino Linotype"/>
          <w:sz w:val="20"/>
          <w:szCs w:val="20"/>
          <w:lang w:val="en-US" w:eastAsia="zh-CN"/>
        </w:rPr>
        <w:t>AI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为媒介的在线网络社交设计。</w:t>
      </w:r>
    </w:p>
    <w:p w14:paraId="761805C9">
      <w:pPr>
        <w:pStyle w:val="35"/>
        <w:numPr>
          <w:ilvl w:val="0"/>
          <w:numId w:val="1"/>
        </w:numPr>
        <w:tabs>
          <w:tab w:val="left" w:pos="283"/>
          <w:tab w:val="left" w:pos="360"/>
        </w:tabs>
        <w:spacing w:line="252" w:lineRule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熟练掌握Claude Code、Codex等AI工具，具有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很</w:t>
      </w:r>
      <w:r>
        <w:rPr>
          <w:rFonts w:hint="eastAsia" w:ascii="Palatino Linotype" w:hAnsi="Palatino Linotype"/>
          <w:sz w:val="20"/>
          <w:szCs w:val="20"/>
        </w:rPr>
        <w:t>强的vibe coding能力，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擅长用</w:t>
      </w:r>
      <w:r>
        <w:rPr>
          <w:rFonts w:hint="default" w:ascii="Palatino Linotype" w:hAnsi="Palatino Linotype"/>
          <w:sz w:val="20"/>
          <w:szCs w:val="20"/>
          <w:lang w:val="en-US" w:eastAsia="zh-CN"/>
        </w:rPr>
        <w:t>AI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辅助进行数据分析。</w:t>
      </w:r>
    </w:p>
    <w:p w14:paraId="78FC5545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96" w:lineRule="exact"/>
        <w:textAlignment w:val="auto"/>
        <w:rPr>
          <w:rFonts w:ascii="Palatino Linotype" w:hAnsi="Palatino Linotype"/>
          <w:b/>
          <w:sz w:val="22"/>
          <w:szCs w:val="20"/>
        </w:rPr>
      </w:pPr>
      <w:r>
        <w:rPr>
          <w:rFonts w:hint="eastAsia" w:ascii="Palatino Linotype" w:hAnsi="Palatino Linotype"/>
          <w:b/>
          <w:sz w:val="22"/>
          <w:szCs w:val="20"/>
        </w:rPr>
        <w:t>项目经历</w:t>
      </w:r>
    </w:p>
    <w:p w14:paraId="32EC185B">
      <w:pPr>
        <w:pStyle w:val="35"/>
        <w:spacing w:before="36" w:beforeLines="15" w:line="252" w:lineRule="auto"/>
        <w:rPr>
          <w:rFonts w:hint="default" w:ascii="Palatino Linotype" w:hAnsi="Palatino Linotype"/>
          <w:b/>
          <w:bCs/>
          <w:sz w:val="20"/>
          <w:szCs w:val="20"/>
          <w:lang w:val="en-US"/>
        </w:rPr>
      </w:pPr>
      <w:r>
        <w:rPr>
          <w:rFonts w:hint="eastAsia" w:ascii="Palatino Linotype" w:hAnsi="Palatino Linotype"/>
          <w:b/>
          <w:bCs/>
          <w:sz w:val="20"/>
          <w:szCs w:val="20"/>
        </w:rPr>
        <w:t>华为合作</w:t>
      </w:r>
      <w:r>
        <w:rPr>
          <w:rFonts w:hint="default" w:ascii="Palatino Linotype" w:hAnsi="Palatino Linotype"/>
          <w:b/>
          <w:bCs/>
          <w:sz w:val="20"/>
          <w:szCs w:val="20"/>
          <w:lang w:val="en-US"/>
        </w:rPr>
        <w:t>AI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Palatino Linotype" w:hAnsi="Palatino Linotype"/>
          <w:b/>
          <w:bCs/>
          <w:sz w:val="20"/>
          <w:szCs w:val="20"/>
          <w:lang w:val="en-US" w:eastAsia="zh-CN"/>
        </w:rPr>
        <w:t>N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ative</w:t>
      </w:r>
      <w:r>
        <w:rPr>
          <w:rFonts w:hint="eastAsia" w:ascii="Palatino Linotype" w:hAnsi="Palatino Linotype"/>
          <w:b/>
          <w:bCs/>
          <w:sz w:val="20"/>
          <w:szCs w:val="20"/>
        </w:rPr>
        <w:t>设计项目：Focus-Easy 智能情境推荐</w:t>
      </w:r>
      <w:r>
        <w:rPr>
          <w:rFonts w:hint="default" w:ascii="Palatino Linotype" w:hAnsi="Palatino Linotype"/>
          <w:b/>
          <w:bCs/>
          <w:sz w:val="20"/>
          <w:szCs w:val="20"/>
          <w:lang w:val="en-US"/>
        </w:rPr>
        <w:t>Agent</w:t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202</w:t>
      </w:r>
      <w:r>
        <w:rPr>
          <w:rFonts w:hint="eastAsia" w:ascii="Palatino Linotype" w:hAnsi="Palatino Linotype"/>
          <w:sz w:val="20"/>
          <w:szCs w:val="20"/>
        </w:rPr>
        <w:t>5</w:t>
      </w:r>
      <w:r>
        <w:rPr>
          <w:rFonts w:ascii="Palatino Linotype" w:hAnsi="Palatino Linotype"/>
          <w:sz w:val="20"/>
          <w:szCs w:val="20"/>
        </w:rPr>
        <w:t>.</w:t>
      </w:r>
      <w:r>
        <w:rPr>
          <w:rFonts w:hint="eastAsia" w:ascii="Palatino Linotype" w:hAnsi="Palatino Linotype"/>
          <w:sz w:val="20"/>
          <w:szCs w:val="20"/>
        </w:rPr>
        <w:t>9-</w:t>
      </w:r>
      <w:r>
        <w:rPr>
          <w:rFonts w:ascii="Palatino Linotype" w:hAnsi="Palatino Linotype"/>
          <w:sz w:val="20"/>
          <w:szCs w:val="20"/>
        </w:rPr>
        <w:t>202</w:t>
      </w:r>
      <w:r>
        <w:rPr>
          <w:rFonts w:hint="eastAsia" w:ascii="Palatino Linotype" w:hAnsi="Palatino Linotype"/>
          <w:sz w:val="20"/>
          <w:szCs w:val="20"/>
        </w:rPr>
        <w:t>5</w:t>
      </w:r>
      <w:r>
        <w:rPr>
          <w:rFonts w:ascii="Palatino Linotype" w:hAnsi="Palatino Linotype"/>
          <w:sz w:val="20"/>
          <w:szCs w:val="20"/>
        </w:rPr>
        <w:t>.</w:t>
      </w:r>
      <w:r>
        <w:rPr>
          <w:rFonts w:hint="eastAsia" w:ascii="Palatino Linotype" w:hAnsi="Palatino Linotype"/>
          <w:sz w:val="20"/>
          <w:szCs w:val="20"/>
        </w:rPr>
        <w:t>11</w:t>
      </w:r>
    </w:p>
    <w:p w14:paraId="60945FB2">
      <w:pPr>
        <w:pStyle w:val="35"/>
        <w:spacing w:before="36" w:beforeLines="15" w:line="252" w:lineRule="auto"/>
        <w:rPr>
          <w:rFonts w:hint="default" w:ascii="Palatino Linotype" w:hAnsi="Palatino Linotype" w:eastAsia="宋体"/>
          <w:i/>
          <w:iCs/>
          <w:color w:val="808080" w:themeColor="background1" w:themeShade="80"/>
          <w:sz w:val="20"/>
          <w:szCs w:val="20"/>
          <w:lang w:val="en-US" w:eastAsia="zh-CN"/>
        </w:rPr>
      </w:pPr>
      <w:r>
        <w:rPr>
          <w:rFonts w:ascii="Palatino Linotype" w:hAnsi="Palatino Linotype"/>
          <w:b/>
          <w:bCs/>
          <w:i/>
          <w:iCs/>
          <w:color w:val="808080" w:themeColor="background1" w:themeShade="80"/>
          <w:sz w:val="20"/>
          <w:szCs w:val="20"/>
        </w:rPr>
        <w:t>使用大语言模型增强情境理解的个性化</w:t>
      </w:r>
      <w:r>
        <w:rPr>
          <w:rFonts w:hint="eastAsia" w:ascii="Palatino Linotype" w:hAnsi="Palatino Linotype"/>
          <w:b/>
          <w:bCs/>
          <w:i/>
          <w:iCs/>
          <w:color w:val="808080" w:themeColor="background1" w:themeShade="80"/>
          <w:sz w:val="20"/>
          <w:szCs w:val="20"/>
          <w:lang w:val="en-US" w:eastAsia="zh-CN"/>
        </w:rPr>
        <w:t>专注</w:t>
      </w:r>
      <w:r>
        <w:rPr>
          <w:rFonts w:ascii="Palatino Linotype" w:hAnsi="Palatino Linotype"/>
          <w:b/>
          <w:bCs/>
          <w:i/>
          <w:iCs/>
          <w:color w:val="808080" w:themeColor="background1" w:themeShade="80"/>
          <w:sz w:val="20"/>
          <w:szCs w:val="20"/>
        </w:rPr>
        <w:t>模式</w:t>
      </w:r>
      <w:r>
        <w:rPr>
          <w:rFonts w:hint="eastAsia" w:ascii="Palatino Linotype" w:hAnsi="Palatino Linotype"/>
          <w:b/>
          <w:bCs/>
          <w:i/>
          <w:iCs/>
          <w:color w:val="808080" w:themeColor="background1" w:themeShade="80"/>
          <w:sz w:val="20"/>
          <w:szCs w:val="20"/>
          <w:lang w:val="en-US" w:eastAsia="zh-CN"/>
        </w:rPr>
        <w:t>推荐系统</w:t>
      </w:r>
      <w:r>
        <w:rPr>
          <w:rFonts w:ascii="Palatino Linotype" w:hAnsi="Palatino Linotype"/>
          <w:b/>
          <w:i/>
          <w:iCs/>
          <w:color w:val="808080" w:themeColor="background1" w:themeShade="80"/>
          <w:sz w:val="20"/>
          <w:szCs w:val="20"/>
        </w:rPr>
        <w:tab/>
      </w:r>
      <w:r>
        <w:rPr>
          <w:rFonts w:hint="eastAsia" w:ascii="Palatino Linotype" w:hAnsi="Palatino Linotype"/>
          <w:b/>
          <w:i/>
          <w:iCs/>
          <w:color w:val="808080" w:themeColor="background1" w:themeShade="80"/>
          <w:sz w:val="20"/>
          <w:szCs w:val="20"/>
          <w:lang w:val="en-US" w:eastAsia="zh-CN"/>
        </w:rPr>
        <w:t>产品设计负责人</w:t>
      </w:r>
    </w:p>
    <w:p w14:paraId="7B553477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eastAsia"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洞察用户设置专注模式流程复杂的痛点</w:t>
      </w:r>
      <w:r>
        <w:rPr>
          <w:rFonts w:hint="eastAsia" w:ascii="Palatino Linotype" w:hAnsi="Palatino Linotype"/>
          <w:sz w:val="20"/>
          <w:szCs w:val="20"/>
          <w:lang w:eastAsia="zh-CN"/>
        </w:rPr>
        <w:t>，提炼出“隐性意图识别”与“方案个性化推荐”两个核心产品方向。</w:t>
      </w:r>
    </w:p>
    <w:p w14:paraId="566416CB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eastAsia"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基于华为原生智能助手“小艺”，将时间、地点、Wi-Fi、蓝牙、面部距离等多维情境转化为用户隐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性</w:t>
      </w:r>
      <w:r>
        <w:rPr>
          <w:rFonts w:hint="eastAsia" w:ascii="Palatino Linotype" w:hAnsi="Palatino Linotype"/>
          <w:sz w:val="20"/>
          <w:szCs w:val="20"/>
        </w:rPr>
        <w:t>意图，设计“情境→意图→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白名单</w:t>
      </w:r>
      <w:r>
        <w:rPr>
          <w:rFonts w:hint="eastAsia" w:ascii="Palatino Linotype" w:hAnsi="Palatino Linotype"/>
          <w:sz w:val="20"/>
          <w:szCs w:val="20"/>
        </w:rPr>
        <w:t>方案”的推荐匹配逻辑，实现个性化专注方案的自动生成。</w:t>
      </w:r>
    </w:p>
    <w:p w14:paraId="070A1EB7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eastAsia" w:ascii="Palatino Linotype" w:hAnsi="Palatino Linotype"/>
          <w:sz w:val="20"/>
          <w:szCs w:val="20"/>
          <w:lang w:val="en-US" w:eastAsia="zh-CN"/>
        </w:rPr>
      </w:pPr>
      <w:r>
        <w:rPr>
          <w:rFonts w:hint="eastAsia" w:ascii="Palatino Linotype" w:hAnsi="Palatino Linotype"/>
          <w:sz w:val="20"/>
          <w:szCs w:val="20"/>
          <w:lang w:val="en-US" w:eastAsia="zh-CN"/>
        </w:rPr>
        <w:t>提出“信息密度随情境自适应”的交互策略，将</w:t>
      </w:r>
      <w:r>
        <w:rPr>
          <w:rFonts w:hint="default" w:ascii="Palatino Linotype" w:hAnsi="Palatino Linotype"/>
          <w:sz w:val="20"/>
          <w:szCs w:val="20"/>
          <w:lang w:val="en-US" w:eastAsia="zh-CN"/>
        </w:rPr>
        <w:t>G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enUI引入专注场景，依据情境特征向用户推荐最优信息架构，即根据面部距离实时调整卡片布局、字号与信息层级，使界面能够随用户实时情境动态响应与自适应调整。</w:t>
      </w:r>
    </w:p>
    <w:p w14:paraId="493F0865">
      <w:pPr>
        <w:pStyle w:val="35"/>
        <w:numPr>
          <w:ilvl w:val="0"/>
          <w:numId w:val="1"/>
        </w:numPr>
        <w:tabs>
          <w:tab w:val="left" w:pos="283"/>
          <w:tab w:val="left" w:pos="360"/>
        </w:tabs>
        <w:spacing w:line="252" w:lineRule="auto"/>
        <w:rPr>
          <w:rFonts w:hint="eastAsia" w:ascii="Palatino Linotype" w:hAnsi="Palatino Linotype"/>
          <w:sz w:val="20"/>
          <w:szCs w:val="20"/>
          <w:lang w:val="en-US" w:eastAsia="zh-CN"/>
        </w:rPr>
      </w:pPr>
      <w:r>
        <w:rPr>
          <w:rFonts w:hint="eastAsia" w:ascii="Palatino Linotype" w:hAnsi="Palatino Linotype"/>
          <w:sz w:val="20"/>
          <w:szCs w:val="20"/>
          <w:lang w:val="en-US" w:eastAsia="zh-CN"/>
        </w:rPr>
        <w:t>探索AI辅助的产品设计工作流，通过vibe coding快速迭代前端界面，并利用 n8n 搭建完整的 Agent 后端链路。</w:t>
      </w:r>
    </w:p>
    <w:p w14:paraId="09D1E124">
      <w:pPr>
        <w:pStyle w:val="3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52" w:lineRule="auto"/>
        <w:textAlignment w:val="auto"/>
        <w:rPr>
          <w:rFonts w:ascii="Palatino Linotype" w:hAnsi="Palatino Linotype"/>
          <w:b/>
          <w:bCs/>
          <w:sz w:val="20"/>
          <w:szCs w:val="20"/>
        </w:rPr>
      </w:pPr>
      <w:r>
        <w:rPr>
          <w:rFonts w:hint="default" w:ascii="Palatino Linotype" w:hAnsi="Palatino Linotype"/>
          <w:b/>
          <w:bCs/>
          <w:sz w:val="20"/>
          <w:szCs w:val="20"/>
          <w:lang w:val="en-US"/>
        </w:rPr>
        <w:t xml:space="preserve">AI </w:t>
      </w:r>
      <w:r>
        <w:rPr>
          <w:rFonts w:hint="eastAsia" w:ascii="Palatino Linotype" w:hAnsi="Palatino Linotype"/>
          <w:b/>
          <w:bCs/>
          <w:sz w:val="20"/>
          <w:szCs w:val="20"/>
        </w:rPr>
        <w:t>Benchmark项目：</w:t>
      </w:r>
      <w:r>
        <w:rPr>
          <w:rFonts w:ascii="Palatino Linotype" w:hAnsi="Palatino Linotype"/>
          <w:b/>
          <w:bCs/>
          <w:sz w:val="20"/>
          <w:szCs w:val="20"/>
        </w:rPr>
        <w:t>面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向中国传统</w:t>
      </w:r>
      <w:r>
        <w:rPr>
          <w:rFonts w:ascii="Palatino Linotype" w:hAnsi="Palatino Linotype"/>
          <w:b/>
          <w:bCs/>
          <w:sz w:val="20"/>
          <w:szCs w:val="20"/>
        </w:rPr>
        <w:t>非遗</w:t>
      </w:r>
      <w:r>
        <w:rPr>
          <w:rFonts w:hint="eastAsia" w:ascii="Palatino Linotype" w:hAnsi="Palatino Linotype"/>
          <w:b/>
          <w:bCs/>
          <w:sz w:val="20"/>
          <w:szCs w:val="20"/>
        </w:rPr>
        <w:t>纹样</w:t>
      </w:r>
      <w:r>
        <w:rPr>
          <w:rFonts w:ascii="Palatino Linotype" w:hAnsi="Palatino Linotype"/>
          <w:b/>
          <w:bCs/>
          <w:sz w:val="20"/>
          <w:szCs w:val="20"/>
        </w:rPr>
        <w:t>数字设计的多模态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模型</w:t>
      </w:r>
      <w:r>
        <w:rPr>
          <w:rFonts w:ascii="Palatino Linotype" w:hAnsi="Palatino Linotype"/>
          <w:b/>
          <w:bCs/>
          <w:sz w:val="20"/>
          <w:szCs w:val="20"/>
        </w:rPr>
        <w:t>能力基准测试</w:t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202</w:t>
      </w:r>
      <w:r>
        <w:rPr>
          <w:rFonts w:hint="eastAsia" w:ascii="Palatino Linotype" w:hAnsi="Palatino Linotype"/>
          <w:sz w:val="20"/>
          <w:szCs w:val="20"/>
        </w:rPr>
        <w:t>6</w:t>
      </w:r>
      <w:r>
        <w:rPr>
          <w:rFonts w:ascii="Palatino Linotype" w:hAnsi="Palatino Linotype"/>
          <w:sz w:val="20"/>
          <w:szCs w:val="20"/>
        </w:rPr>
        <w:t>.</w:t>
      </w:r>
      <w:r>
        <w:rPr>
          <w:rFonts w:hint="eastAsia" w:ascii="Palatino Linotype" w:hAnsi="Palatino Linotype"/>
          <w:sz w:val="20"/>
          <w:szCs w:val="20"/>
        </w:rPr>
        <w:t>3-</w:t>
      </w:r>
      <w:r>
        <w:rPr>
          <w:rFonts w:ascii="Palatino Linotype" w:hAnsi="Palatino Linotype"/>
          <w:sz w:val="20"/>
          <w:szCs w:val="20"/>
        </w:rPr>
        <w:t>202</w:t>
      </w:r>
      <w:r>
        <w:rPr>
          <w:rFonts w:hint="eastAsia" w:ascii="Palatino Linotype" w:hAnsi="Palatino Linotype"/>
          <w:sz w:val="20"/>
          <w:szCs w:val="20"/>
        </w:rPr>
        <w:t>6</w:t>
      </w:r>
      <w:r>
        <w:rPr>
          <w:rFonts w:ascii="Palatino Linotype" w:hAnsi="Palatino Linotype"/>
          <w:sz w:val="20"/>
          <w:szCs w:val="20"/>
        </w:rPr>
        <w:t>.</w:t>
      </w:r>
      <w:r>
        <w:rPr>
          <w:rFonts w:hint="eastAsia" w:ascii="Palatino Linotype" w:hAnsi="Palatino Linotype"/>
          <w:sz w:val="20"/>
          <w:szCs w:val="20"/>
        </w:rPr>
        <w:t>5</w:t>
      </w:r>
    </w:p>
    <w:p w14:paraId="273CE4FE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  <w:lang w:val="en-US" w:eastAsia="zh-CN"/>
        </w:rPr>
        <w:t>收集</w:t>
      </w:r>
      <w:r>
        <w:rPr>
          <w:rFonts w:hint="eastAsia" w:ascii="Palatino Linotype" w:hAnsi="Palatino Linotype"/>
          <w:sz w:val="20"/>
          <w:szCs w:val="20"/>
        </w:rPr>
        <w:t>500幅中国传统非遗纹样，依据纹样复杂度划分</w:t>
      </w:r>
      <w:r>
        <w:rPr>
          <w:rFonts w:hint="default" w:ascii="Palatino Linotype" w:hAnsi="Palatino Linotype"/>
          <w:sz w:val="20"/>
          <w:szCs w:val="20"/>
          <w:lang w:val="en-US"/>
        </w:rPr>
        <w:t>3</w:t>
      </w:r>
      <w:r>
        <w:rPr>
          <w:rFonts w:hint="eastAsia" w:ascii="Palatino Linotype" w:hAnsi="Palatino Linotype"/>
          <w:sz w:val="20"/>
          <w:szCs w:val="20"/>
        </w:rPr>
        <w:t>个难度层级，为多模态模型评测提供分级测试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集</w:t>
      </w:r>
      <w:r>
        <w:rPr>
          <w:rFonts w:hint="eastAsia" w:ascii="Palatino Linotype" w:hAnsi="Palatino Linotype"/>
          <w:sz w:val="20"/>
          <w:szCs w:val="20"/>
        </w:rPr>
        <w:t>。</w:t>
      </w:r>
    </w:p>
    <w:p w14:paraId="0127A426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0" w:firstLine="0"/>
        <w:textAlignment w:val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设计语义一致性与文化语境联想两项多模态任务，通过CLIP-S相似度与语义元素覆盖率两个指标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进行</w:t>
      </w:r>
      <w:r>
        <w:rPr>
          <w:rFonts w:hint="eastAsia" w:ascii="Palatino Linotype" w:hAnsi="Palatino Linotype"/>
          <w:sz w:val="20"/>
          <w:szCs w:val="20"/>
        </w:rPr>
        <w:t>联合评估。</w:t>
      </w:r>
    </w:p>
    <w:p w14:paraId="3F1AB6E5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  <w:lang w:val="en-US" w:eastAsia="zh-CN"/>
        </w:rPr>
        <w:t>针对非遗纹样语义理解场景，搭建“色彩元素-伴生元素-语境元素”三维覆盖率评价体系，用于分析模型在细粒度视觉语义与文化语境理解中的能力差异。</w:t>
      </w:r>
    </w:p>
    <w:p w14:paraId="305B02A5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eastAsia"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搭建统一评测管线，支持大模型 API 批量调用、结果解析、自动打分与多模型横向对比，输出结构化评估结果与Badcase分析，为后续模型能力优化提供依据。</w:t>
      </w:r>
    </w:p>
    <w:p w14:paraId="0CA3854C">
      <w:pPr>
        <w:pStyle w:val="3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52" w:lineRule="auto"/>
        <w:textAlignment w:val="auto"/>
        <w:rPr>
          <w:rFonts w:hint="default" w:ascii="Palatino Linotype" w:hAnsi="Palatino Linotype" w:eastAsia="宋体"/>
          <w:sz w:val="20"/>
          <w:szCs w:val="20"/>
          <w:lang w:val="en-US" w:eastAsia="zh-CN"/>
        </w:rPr>
      </w:pP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小红书</w:t>
      </w:r>
      <w:r>
        <w:rPr>
          <w:rFonts w:hint="default" w:ascii="Palatino Linotype" w:hAnsi="Palatino Linotype"/>
          <w:b/>
          <w:bCs/>
          <w:sz w:val="20"/>
          <w:szCs w:val="20"/>
          <w:lang w:val="en-US" w:eastAsia="zh-CN"/>
        </w:rPr>
        <w:t>AI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 xml:space="preserve"> </w:t>
      </w:r>
      <w:r>
        <w:rPr>
          <w:rFonts w:hint="default" w:ascii="Palatino Linotype" w:hAnsi="Palatino Linotype"/>
          <w:b/>
          <w:bCs/>
          <w:sz w:val="20"/>
          <w:szCs w:val="20"/>
          <w:lang w:val="en-US" w:eastAsia="zh-CN"/>
        </w:rPr>
        <w:t>Builder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创造营决赛入围</w:t>
      </w:r>
      <w:r>
        <w:rPr>
          <w:rFonts w:hint="eastAsia" w:ascii="Palatino Linotype" w:hAnsi="Palatino Linotype"/>
          <w:b/>
          <w:bCs/>
          <w:sz w:val="20"/>
          <w:szCs w:val="20"/>
        </w:rPr>
        <w:t>：</w:t>
      </w:r>
      <w:r>
        <w:rPr>
          <w:rFonts w:hint="default" w:ascii="Palatino Linotype" w:hAnsi="Palatino Linotype"/>
          <w:b/>
          <w:bCs/>
          <w:sz w:val="20"/>
          <w:szCs w:val="20"/>
          <w:lang w:val="en-US"/>
        </w:rPr>
        <w:t>R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hythm</w:t>
      </w:r>
      <w:r>
        <w:rPr>
          <w:rFonts w:hint="default" w:ascii="Palatino Linotype" w:hAnsi="Palatino Linotype"/>
          <w:b/>
          <w:bCs/>
          <w:sz w:val="20"/>
          <w:szCs w:val="20"/>
          <w:lang w:val="en-US" w:eastAsia="zh-CN"/>
        </w:rPr>
        <w:t>R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 xml:space="preserve">ide  </w:t>
      </w:r>
      <w:r>
        <w:rPr>
          <w:rFonts w:hint="default" w:ascii="Palatino Linotype" w:hAnsi="Palatino Linotype"/>
          <w:b/>
          <w:bCs/>
          <w:sz w:val="20"/>
          <w:szCs w:val="20"/>
          <w:lang w:val="en-US" w:eastAsia="zh-CN"/>
        </w:rPr>
        <w:t>AI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音乐骑行陪伴硬件产品</w:t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202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6</w:t>
      </w:r>
      <w:r>
        <w:rPr>
          <w:rFonts w:ascii="Palatino Linotype" w:hAnsi="Palatino Linotype"/>
          <w:sz w:val="20"/>
          <w:szCs w:val="20"/>
        </w:rPr>
        <w:t>.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5</w:t>
      </w:r>
      <w:r>
        <w:rPr>
          <w:rFonts w:hint="eastAsia" w:ascii="Palatino Linotype" w:hAnsi="Palatino Linotype"/>
          <w:sz w:val="20"/>
          <w:szCs w:val="20"/>
        </w:rPr>
        <w:t>-</w:t>
      </w:r>
      <w:r>
        <w:rPr>
          <w:rFonts w:ascii="Palatino Linotype" w:hAnsi="Palatino Linotype"/>
          <w:sz w:val="20"/>
          <w:szCs w:val="20"/>
        </w:rPr>
        <w:t>202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6.6</w:t>
      </w:r>
    </w:p>
    <w:p w14:paraId="73037980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eastAsia"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  <w:lang w:val="en-US" w:eastAsia="zh-CN"/>
        </w:rPr>
        <w:t>面向城市骑行、情侣骑行、亲子骑行等生活场景，设计一款融合智能硬件与 AI 音乐生成的骑行陪伴产品。</w:t>
      </w:r>
    </w:p>
    <w:p w14:paraId="3FF9ABC6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eastAsia"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  <w:lang w:val="en-US" w:eastAsia="zh-CN"/>
        </w:rPr>
        <w:t>基于“节奏难同步、互动反馈弱、过程缺少记忆点”等痛点，构建“邀请同伴</w:t>
      </w:r>
      <w:r>
        <w:rPr>
          <w:rFonts w:hint="eastAsia" w:ascii="Palatino Linotype" w:hAnsi="Palatino Linotype"/>
          <w:sz w:val="20"/>
          <w:szCs w:val="20"/>
        </w:rPr>
        <w:t>→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绑定设备</w:t>
      </w:r>
      <w:r>
        <w:rPr>
          <w:rFonts w:hint="eastAsia" w:ascii="Palatino Linotype" w:hAnsi="Palatino Linotype"/>
          <w:sz w:val="20"/>
          <w:szCs w:val="20"/>
        </w:rPr>
        <w:t>→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开始骑行</w:t>
      </w:r>
      <w:r>
        <w:rPr>
          <w:rFonts w:hint="eastAsia" w:ascii="Palatino Linotype" w:hAnsi="Palatino Linotype"/>
          <w:sz w:val="20"/>
          <w:szCs w:val="20"/>
        </w:rPr>
        <w:t>→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实时反馈</w:t>
      </w:r>
      <w:r>
        <w:rPr>
          <w:rFonts w:hint="eastAsia" w:ascii="Palatino Linotype" w:hAnsi="Palatino Linotype"/>
          <w:sz w:val="20"/>
          <w:szCs w:val="20"/>
        </w:rPr>
        <w:t>→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同步合奏”的体验链路，强化骑行过程中的仪式感、陪伴感与分享意愿。</w:t>
      </w:r>
    </w:p>
    <w:p w14:paraId="7013FF42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eastAsia" w:ascii="Palatino Linotype" w:hAnsi="Palatino Linotype"/>
          <w:sz w:val="20"/>
          <w:szCs w:val="20"/>
        </w:rPr>
      </w:pPr>
      <w:r>
        <w:rPr>
          <w:rFonts w:hint="default" w:ascii="Palatino Linotype" w:hAnsi="Palatino Linotype"/>
          <w:sz w:val="20"/>
          <w:szCs w:val="20"/>
          <w:lang w:val="en-US"/>
        </w:rPr>
        <w:t>负责软硬件原型开发，使用IMU传感器采集踏频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，</w:t>
      </w:r>
      <w:r>
        <w:rPr>
          <w:rFonts w:hint="default" w:ascii="Palatino Linotype" w:hAnsi="Palatino Linotype"/>
          <w:sz w:val="20"/>
          <w:szCs w:val="20"/>
          <w:lang w:val="en-US"/>
        </w:rPr>
        <w:t>通过WebSocket实现数据转发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，</w:t>
      </w:r>
      <w:r>
        <w:rPr>
          <w:rFonts w:hint="default" w:ascii="Palatino Linotype" w:hAnsi="Palatino Linotype"/>
          <w:sz w:val="20"/>
          <w:szCs w:val="20"/>
          <w:lang w:val="en-US"/>
        </w:rPr>
        <w:t>接入Reac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t</w:t>
      </w:r>
      <w:r>
        <w:rPr>
          <w:rFonts w:hint="default" w:ascii="Palatino Linotype" w:hAnsi="Palatino Linotype"/>
          <w:sz w:val="20"/>
          <w:szCs w:val="20"/>
          <w:lang w:val="en-US"/>
        </w:rPr>
        <w:t>前端与 M5Stack硬件进行实时可视化反馈。</w:t>
      </w:r>
    </w:p>
    <w:p w14:paraId="2769348D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eastAsia"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设计踏频到音乐节奏、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动画</w:t>
      </w:r>
      <w:r>
        <w:rPr>
          <w:rFonts w:hint="eastAsia" w:ascii="Palatino Linotype" w:hAnsi="Palatino Linotype"/>
          <w:sz w:val="20"/>
          <w:szCs w:val="20"/>
        </w:rPr>
        <w:t>和同步状态的映射逻辑，验证</w:t>
      </w:r>
      <w:r>
        <w:rPr>
          <w:rFonts w:hint="default" w:ascii="Palatino Linotype" w:hAnsi="Palatino Linotype"/>
          <w:sz w:val="20"/>
          <w:szCs w:val="20"/>
          <w:lang w:val="en-US"/>
        </w:rPr>
        <w:t>AI</w:t>
      </w:r>
      <w:r>
        <w:rPr>
          <w:rFonts w:hint="eastAsia" w:ascii="Palatino Linotype" w:hAnsi="Palatino Linotype"/>
          <w:sz w:val="20"/>
          <w:szCs w:val="20"/>
        </w:rPr>
        <w:t>生成音乐在轻运动社交与城市生活中的应用可能。</w:t>
      </w:r>
    </w:p>
    <w:p w14:paraId="3D6B5890">
      <w:pPr>
        <w:pStyle w:val="3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52" w:lineRule="auto"/>
        <w:textAlignment w:val="auto"/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</w:pP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蚂蚁合作项目</w:t>
      </w:r>
      <w:r>
        <w:rPr>
          <w:rFonts w:hint="eastAsia" w:ascii="Palatino Linotype" w:hAnsi="Palatino Linotype"/>
          <w:b/>
          <w:bCs/>
          <w:sz w:val="20"/>
          <w:szCs w:val="20"/>
        </w:rPr>
        <w:t>：</w:t>
      </w:r>
      <w:r>
        <w:rPr>
          <w:rFonts w:hint="default" w:ascii="Palatino Linotype" w:hAnsi="Palatino Linotype"/>
          <w:b/>
          <w:bCs/>
          <w:sz w:val="20"/>
          <w:szCs w:val="20"/>
          <w:lang w:val="en-US"/>
        </w:rPr>
        <w:t>Aura</w:t>
      </w:r>
      <w:r>
        <w:rPr>
          <w:rFonts w:hint="eastAsia" w:ascii="Palatino Linotype" w:hAnsi="Palatino Linotype"/>
          <w:b/>
          <w:bCs/>
          <w:sz w:val="20"/>
          <w:szCs w:val="20"/>
          <w:lang w:val="en-US" w:eastAsia="zh-CN"/>
        </w:rPr>
        <w:t>福灵 基于蚂蚁阿福的个人心理健康服务系统设计</w:t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202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6</w:t>
      </w:r>
      <w:r>
        <w:rPr>
          <w:rFonts w:ascii="Palatino Linotype" w:hAnsi="Palatino Linotype"/>
          <w:sz w:val="20"/>
          <w:szCs w:val="20"/>
        </w:rPr>
        <w:t>.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3</w:t>
      </w:r>
      <w:r>
        <w:rPr>
          <w:rFonts w:hint="eastAsia" w:ascii="Palatino Linotype" w:hAnsi="Palatino Linotype"/>
          <w:sz w:val="20"/>
          <w:szCs w:val="20"/>
        </w:rPr>
        <w:t>-</w:t>
      </w:r>
      <w:r>
        <w:rPr>
          <w:rFonts w:ascii="Palatino Linotype" w:hAnsi="Palatino Linotype"/>
          <w:sz w:val="20"/>
          <w:szCs w:val="20"/>
        </w:rPr>
        <w:t>202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6.4</w:t>
      </w:r>
    </w:p>
    <w:p w14:paraId="18CD0B88">
      <w:pPr>
        <w:pStyle w:val="35"/>
        <w:spacing w:before="36" w:beforeLines="15" w:line="252" w:lineRule="auto"/>
        <w:rPr>
          <w:rFonts w:hint="default" w:ascii="Palatino Linotype" w:hAnsi="Palatino Linotype" w:eastAsia="宋体"/>
          <w:i/>
          <w:iCs/>
          <w:color w:val="A6A6A6" w:themeColor="background1" w:themeShade="A6"/>
          <w:sz w:val="20"/>
          <w:szCs w:val="20"/>
          <w:lang w:val="en-US" w:eastAsia="zh-CN"/>
        </w:rPr>
      </w:pPr>
      <w:r>
        <w:rPr>
          <w:rFonts w:hint="eastAsia" w:ascii="Palatino Linotype" w:hAnsi="Palatino Linotype"/>
          <w:b/>
          <w:i/>
          <w:iCs/>
          <w:color w:val="808080" w:themeColor="background1" w:themeShade="80"/>
          <w:sz w:val="20"/>
          <w:szCs w:val="20"/>
        </w:rPr>
        <w:t>聚焦</w:t>
      </w:r>
      <w:r>
        <w:rPr>
          <w:rFonts w:hint="eastAsia" w:ascii="Palatino Linotype" w:hAnsi="Palatino Linotype"/>
          <w:b/>
          <w:i/>
          <w:iCs/>
          <w:color w:val="808080" w:themeColor="background1" w:themeShade="80"/>
          <w:sz w:val="20"/>
          <w:szCs w:val="20"/>
          <w:lang w:val="en-US" w:eastAsia="zh-CN"/>
        </w:rPr>
        <w:t>健康类</w:t>
      </w:r>
      <w:r>
        <w:rPr>
          <w:rFonts w:hint="default" w:ascii="Palatino Linotype" w:hAnsi="Palatino Linotype"/>
          <w:b/>
          <w:i/>
          <w:iCs/>
          <w:color w:val="808080" w:themeColor="background1" w:themeShade="80"/>
          <w:sz w:val="20"/>
          <w:szCs w:val="20"/>
          <w:lang w:val="en-US" w:eastAsia="zh-CN"/>
        </w:rPr>
        <w:t>A</w:t>
      </w:r>
      <w:r>
        <w:rPr>
          <w:rFonts w:hint="eastAsia" w:ascii="Palatino Linotype" w:hAnsi="Palatino Linotype"/>
          <w:b/>
          <w:i/>
          <w:iCs/>
          <w:color w:val="808080" w:themeColor="background1" w:themeShade="80"/>
          <w:sz w:val="20"/>
          <w:szCs w:val="20"/>
          <w:lang w:val="en-US" w:eastAsia="zh-CN"/>
        </w:rPr>
        <w:t>gent电商</w:t>
      </w:r>
      <w:r>
        <w:rPr>
          <w:rFonts w:hint="eastAsia" w:ascii="Palatino Linotype" w:hAnsi="Palatino Linotype"/>
          <w:b/>
          <w:i/>
          <w:iCs/>
          <w:color w:val="808080" w:themeColor="background1" w:themeShade="80"/>
          <w:sz w:val="20"/>
          <w:szCs w:val="20"/>
        </w:rPr>
        <w:t>与用户转化的产品</w:t>
      </w:r>
      <w:r>
        <w:rPr>
          <w:rFonts w:hint="eastAsia" w:ascii="Palatino Linotype" w:hAnsi="Palatino Linotype"/>
          <w:b/>
          <w:i/>
          <w:iCs/>
          <w:color w:val="808080" w:themeColor="background1" w:themeShade="80"/>
          <w:sz w:val="20"/>
          <w:szCs w:val="20"/>
          <w:lang w:val="en-US" w:eastAsia="zh-CN"/>
        </w:rPr>
        <w:t>设计与</w:t>
      </w:r>
      <w:r>
        <w:rPr>
          <w:rFonts w:hint="eastAsia" w:ascii="Palatino Linotype" w:hAnsi="Palatino Linotype"/>
          <w:b/>
          <w:i/>
          <w:iCs/>
          <w:color w:val="808080" w:themeColor="background1" w:themeShade="80"/>
          <w:sz w:val="20"/>
          <w:szCs w:val="20"/>
        </w:rPr>
        <w:t>营销</w:t>
      </w:r>
      <w:r>
        <w:rPr>
          <w:rFonts w:hint="eastAsia" w:ascii="Palatino Linotype" w:hAnsi="Palatino Linotype"/>
          <w:b/>
          <w:i/>
          <w:iCs/>
          <w:color w:val="808080" w:themeColor="background1" w:themeShade="80"/>
          <w:sz w:val="20"/>
          <w:szCs w:val="20"/>
          <w:lang w:val="en-US" w:eastAsia="zh-CN"/>
        </w:rPr>
        <w:t>策划</w:t>
      </w:r>
      <w:r>
        <w:rPr>
          <w:rFonts w:ascii="Palatino Linotype" w:hAnsi="Palatino Linotype"/>
          <w:b/>
          <w:i/>
          <w:iCs/>
          <w:color w:val="808080" w:themeColor="background1" w:themeShade="80"/>
          <w:sz w:val="20"/>
          <w:szCs w:val="20"/>
        </w:rPr>
        <w:tab/>
      </w:r>
      <w:r>
        <w:rPr>
          <w:rFonts w:hint="eastAsia" w:ascii="Palatino Linotype" w:hAnsi="Palatino Linotype"/>
          <w:i/>
          <w:iCs/>
          <w:color w:val="808080" w:themeColor="background1" w:themeShade="80"/>
          <w:sz w:val="20"/>
          <w:szCs w:val="20"/>
          <w:lang w:val="en-US" w:eastAsia="zh-CN"/>
        </w:rPr>
        <w:t>产品设计与策略负责人</w:t>
      </w:r>
    </w:p>
    <w:p w14:paraId="49DBF399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default" w:ascii="Palatino Linotype" w:hAnsi="Palatino Linotype"/>
          <w:sz w:val="20"/>
          <w:szCs w:val="20"/>
          <w:lang w:val="en-US"/>
        </w:rPr>
      </w:pPr>
      <w:r>
        <w:rPr>
          <w:rFonts w:hint="eastAsia" w:ascii="Palatino Linotype" w:hAnsi="Palatino Linotype"/>
          <w:sz w:val="20"/>
          <w:szCs w:val="20"/>
          <w:lang w:val="en-US" w:eastAsia="zh-CN"/>
        </w:rPr>
        <w:t>基于</w:t>
      </w:r>
      <w:r>
        <w:rPr>
          <w:rFonts w:hint="default" w:ascii="Palatino Linotype" w:hAnsi="Palatino Linotype"/>
          <w:sz w:val="20"/>
          <w:szCs w:val="20"/>
          <w:lang w:val="en-US" w:eastAsia="zh-CN"/>
        </w:rPr>
        <w:t>PEST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分析，识别出“职场心理亚健康”高潜人群，明确其对传统心理健康产品存在的转化障碍。</w:t>
      </w:r>
    </w:p>
    <w:p w14:paraId="7D57386F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default" w:ascii="Palatino Linotype" w:hAnsi="Palatino Linotype"/>
          <w:sz w:val="20"/>
          <w:szCs w:val="20"/>
          <w:lang w:val="en-US"/>
        </w:rPr>
      </w:pPr>
      <w:r>
        <w:rPr>
          <w:rFonts w:hint="eastAsia" w:ascii="Palatino Linotype" w:hAnsi="Palatino Linotype"/>
          <w:sz w:val="20"/>
          <w:szCs w:val="20"/>
          <w:lang w:val="en-US" w:eastAsia="zh-CN"/>
        </w:rPr>
        <w:t>创新提出“</w:t>
      </w:r>
      <w:r>
        <w:rPr>
          <w:rFonts w:hint="default" w:ascii="Palatino Linotype" w:hAnsi="Palatino Linotype"/>
          <w:sz w:val="20"/>
          <w:szCs w:val="20"/>
          <w:lang w:val="en-US" w:eastAsia="zh-CN"/>
        </w:rPr>
        <w:t>AI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眼镜+手机端”双端协同的产品形态。将</w:t>
      </w:r>
      <w:r>
        <w:rPr>
          <w:rFonts w:hint="default" w:ascii="Palatino Linotype" w:hAnsi="Palatino Linotype"/>
          <w:sz w:val="20"/>
          <w:szCs w:val="20"/>
          <w:lang w:val="en-US" w:eastAsia="zh-CN"/>
        </w:rPr>
        <w:t>AI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眼镜定位为</w:t>
      </w:r>
      <w:r>
        <w:rPr>
          <w:rFonts w:hint="default" w:ascii="Palatino Linotype" w:hAnsi="Palatino Linotype"/>
          <w:sz w:val="20"/>
          <w:szCs w:val="20"/>
          <w:lang w:val="en-US" w:eastAsia="zh-CN"/>
        </w:rPr>
        <w:t>EAP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线下触点，手机端作为商业化转化平台，为健康类AI产品打开全新的触达渠道。</w:t>
      </w:r>
    </w:p>
    <w:p w14:paraId="24007D2F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default" w:ascii="Palatino Linotype" w:hAnsi="Palatino Linotype"/>
          <w:sz w:val="20"/>
          <w:szCs w:val="20"/>
          <w:lang w:val="en-US"/>
        </w:rPr>
      </w:pPr>
      <w:r>
        <w:rPr>
          <w:rFonts w:hint="default" w:ascii="Palatino Linotype" w:hAnsi="Palatino Linotype"/>
          <w:sz w:val="20"/>
          <w:szCs w:val="20"/>
          <w:lang w:val="en-US"/>
        </w:rPr>
        <w:t>基于XR技术，设计“个性化认知疗法叙事”的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内容营销方案</w:t>
      </w:r>
      <w:r>
        <w:rPr>
          <w:rFonts w:hint="default" w:ascii="Palatino Linotype" w:hAnsi="Palatino Linotype"/>
          <w:sz w:val="20"/>
          <w:szCs w:val="20"/>
          <w:lang w:val="en-US"/>
        </w:rPr>
        <w:t>。将专业的心理学干预转化为用户强共鸣的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沉浸</w:t>
      </w:r>
      <w:r>
        <w:rPr>
          <w:rFonts w:hint="default" w:ascii="Palatino Linotype" w:hAnsi="Palatino Linotype"/>
          <w:sz w:val="20"/>
          <w:szCs w:val="20"/>
          <w:lang w:val="en-US"/>
        </w:rPr>
        <w:t>叙事场景，本质上是以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生成式</w:t>
      </w:r>
      <w:r>
        <w:rPr>
          <w:rFonts w:hint="default" w:ascii="Palatino Linotype" w:hAnsi="Palatino Linotype"/>
          <w:sz w:val="20"/>
          <w:szCs w:val="20"/>
          <w:lang w:val="en-US"/>
        </w:rPr>
        <w:t>内容为驱动提升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用户</w:t>
      </w:r>
      <w:r>
        <w:rPr>
          <w:rFonts w:hint="default" w:ascii="Palatino Linotype" w:hAnsi="Palatino Linotype"/>
          <w:sz w:val="20"/>
          <w:szCs w:val="20"/>
          <w:lang w:val="en-US"/>
        </w:rPr>
        <w:t>持续付费意愿。</w:t>
      </w:r>
    </w:p>
    <w:p w14:paraId="36F8171C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52" w:lineRule="auto"/>
        <w:ind w:left="283" w:hanging="283"/>
        <w:textAlignment w:val="auto"/>
        <w:rPr>
          <w:rFonts w:hint="default" w:ascii="Palatino Linotype" w:hAnsi="Palatino Linotype"/>
          <w:sz w:val="20"/>
          <w:szCs w:val="20"/>
          <w:lang w:val="en-US"/>
        </w:rPr>
      </w:pPr>
      <w:r>
        <w:rPr>
          <w:rFonts w:hint="default" w:ascii="Palatino Linotype" w:hAnsi="Palatino Linotype"/>
          <w:sz w:val="20"/>
          <w:szCs w:val="20"/>
          <w:lang w:val="en-US"/>
        </w:rPr>
        <w:t>基于阿福现有架构，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确定</w:t>
      </w:r>
      <w:r>
        <w:rPr>
          <w:rFonts w:hint="default" w:ascii="Palatino Linotype" w:hAnsi="Palatino Linotype"/>
          <w:sz w:val="20"/>
          <w:szCs w:val="20"/>
          <w:lang w:val="en-US"/>
        </w:rPr>
        <w:t>福灵作为“心理增值服务模块”的入驻策略。设计其在蚂蚁生态内的服务入口、用户流转路径与产品组合方案，建立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独立</w:t>
      </w:r>
      <w:r>
        <w:rPr>
          <w:rFonts w:hint="default" w:ascii="Palatino Linotype" w:hAnsi="Palatino Linotype"/>
          <w:sz w:val="20"/>
          <w:szCs w:val="20"/>
          <w:lang w:val="en-US"/>
        </w:rPr>
        <w:t>品牌心智。</w:t>
      </w:r>
    </w:p>
    <w:p w14:paraId="1AC82D7F">
      <w:pPr>
        <w:keepNext w:val="0"/>
        <w:keepLines w:val="0"/>
        <w:pageBreakBefore w:val="0"/>
        <w:widowControl w:val="0"/>
        <w:pBdr>
          <w:bottom w:val="single" w:color="auto" w:sz="4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line="296" w:lineRule="exact"/>
        <w:textAlignment w:val="auto"/>
        <w:rPr>
          <w:rFonts w:ascii="Palatino Linotype" w:hAnsi="Palatino Linotype"/>
          <w:b/>
          <w:sz w:val="22"/>
          <w:szCs w:val="20"/>
        </w:rPr>
      </w:pPr>
      <w:r>
        <w:rPr>
          <w:rFonts w:hint="eastAsia" w:ascii="Palatino Linotype" w:hAnsi="Palatino Linotype"/>
          <w:b/>
          <w:sz w:val="22"/>
          <w:szCs w:val="20"/>
        </w:rPr>
        <w:t>实习经历</w:t>
      </w:r>
    </w:p>
    <w:p w14:paraId="70C5D8B9">
      <w:pPr>
        <w:pStyle w:val="35"/>
        <w:spacing w:before="36" w:beforeLines="15" w:line="252" w:lineRule="auto"/>
        <w:rPr>
          <w:rFonts w:hint="eastAsia" w:ascii="Palatino Linotype" w:hAnsi="Palatino Linotype"/>
          <w:sz w:val="20"/>
          <w:szCs w:val="20"/>
        </w:rPr>
      </w:pPr>
      <w:r>
        <w:rPr>
          <w:rFonts w:hint="eastAsia"/>
          <w:b/>
          <w:bCs/>
        </w:rPr>
        <w:t>字节跳动 北京字跳科技有限公司</w:t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ascii="Palatino Linotype" w:hAnsi="Palatino Linotype"/>
          <w:sz w:val="20"/>
          <w:szCs w:val="20"/>
        </w:rPr>
        <w:t>202</w:t>
      </w:r>
      <w:r>
        <w:rPr>
          <w:rFonts w:hint="eastAsia" w:ascii="Palatino Linotype" w:hAnsi="Palatino Linotype"/>
          <w:sz w:val="20"/>
          <w:szCs w:val="20"/>
        </w:rPr>
        <w:t>4</w:t>
      </w:r>
      <w:r>
        <w:rPr>
          <w:rFonts w:ascii="Palatino Linotype" w:hAnsi="Palatino Linotype"/>
          <w:sz w:val="20"/>
          <w:szCs w:val="20"/>
        </w:rPr>
        <w:t>.</w:t>
      </w:r>
      <w:r>
        <w:rPr>
          <w:rFonts w:hint="eastAsia" w:ascii="Palatino Linotype" w:hAnsi="Palatino Linotype"/>
          <w:sz w:val="20"/>
          <w:szCs w:val="20"/>
        </w:rPr>
        <w:t xml:space="preserve">9-2024.12  </w:t>
      </w:r>
    </w:p>
    <w:p w14:paraId="0C86172A">
      <w:pPr>
        <w:pStyle w:val="35"/>
        <w:spacing w:before="36" w:beforeLines="15" w:line="252" w:lineRule="auto"/>
        <w:rPr>
          <w:rFonts w:ascii="Palatino Linotype" w:hAnsi="Palatino Linotype"/>
          <w:sz w:val="20"/>
          <w:szCs w:val="20"/>
        </w:rPr>
      </w:pPr>
      <w:r>
        <w:rPr>
          <w:rFonts w:hint="eastAsia"/>
          <w:b/>
          <w:bCs/>
        </w:rPr>
        <w:t xml:space="preserve">绿洲工作室 </w:t>
      </w:r>
      <w:r>
        <w:rPr>
          <w:rFonts w:hint="eastAsia"/>
          <w:b/>
          <w:bCs/>
          <w:lang w:val="en-US" w:eastAsia="zh-CN"/>
        </w:rPr>
        <w:t>产品交互策划</w:t>
      </w:r>
      <w:r>
        <w:rPr>
          <w:rFonts w:hint="eastAsia"/>
          <w:b/>
          <w:bCs/>
        </w:rPr>
        <w:t>实习生</w:t>
      </w:r>
      <w:r>
        <w:rPr>
          <w:rFonts w:ascii="Palatino Linotype" w:hAnsi="Palatino Linotype"/>
          <w:b/>
          <w:sz w:val="20"/>
          <w:szCs w:val="20"/>
        </w:rPr>
        <w:tab/>
      </w:r>
      <w:r>
        <w:rPr>
          <w:rFonts w:hint="eastAsia" w:ascii="Palatino Linotype" w:hAnsi="Palatino Linotype"/>
          <w:sz w:val="20"/>
          <w:szCs w:val="20"/>
        </w:rPr>
        <w:t>北京</w:t>
      </w:r>
    </w:p>
    <w:p w14:paraId="0F335850">
      <w:pPr>
        <w:pStyle w:val="35"/>
        <w:numPr>
          <w:ilvl w:val="0"/>
          <w:numId w:val="1"/>
        </w:numPr>
        <w:tabs>
          <w:tab w:val="left" w:pos="283"/>
          <w:tab w:val="left" w:pos="360"/>
        </w:tabs>
        <w:spacing w:line="252" w:lineRule="auto"/>
        <w:rPr>
          <w:rFonts w:ascii="Palatino Linotype" w:hAnsi="Palatino Linotype"/>
          <w:b/>
          <w:bCs/>
          <w:sz w:val="20"/>
          <w:szCs w:val="20"/>
        </w:rPr>
      </w:pPr>
      <w:r>
        <w:rPr>
          <w:rFonts w:hint="eastAsia" w:ascii="Palatino Linotype" w:hAnsi="Palatino Linotype"/>
          <w:b/>
          <w:bCs/>
          <w:sz w:val="20"/>
          <w:szCs w:val="20"/>
        </w:rPr>
        <w:t>负责PC端搜打撤游戏《Mistfall Hunter》的用户体验设计与界面开发。</w:t>
      </w:r>
    </w:p>
    <w:p w14:paraId="11BA0380">
      <w:pPr>
        <w:pStyle w:val="35"/>
        <w:numPr>
          <w:ilvl w:val="0"/>
          <w:numId w:val="1"/>
        </w:numPr>
        <w:tabs>
          <w:tab w:val="left" w:pos="283"/>
          <w:tab w:val="left" w:pos="360"/>
        </w:tabs>
        <w:spacing w:before="36" w:beforeLines="15" w:line="252" w:lineRule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独立主导社交聊天与技能装配系统的需求定义、交互设计与迭代优化，撰写程序/美术需求文档并推动功能落地。</w:t>
      </w:r>
    </w:p>
    <w:p w14:paraId="3D5824A9">
      <w:pPr>
        <w:pStyle w:val="35"/>
        <w:numPr>
          <w:ilvl w:val="0"/>
          <w:numId w:val="1"/>
        </w:numPr>
        <w:tabs>
          <w:tab w:val="left" w:pos="283"/>
          <w:tab w:val="left" w:pos="360"/>
        </w:tabs>
        <w:spacing w:before="36" w:beforeLines="15" w:line="252" w:lineRule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熟练使用UE5 UMG与蓝图搭建界面框架，协助多模块界面调试与问题修复。</w:t>
      </w:r>
    </w:p>
    <w:p w14:paraId="6FA45848">
      <w:pPr>
        <w:pStyle w:val="35"/>
        <w:numPr>
          <w:ilvl w:val="0"/>
          <w:numId w:val="1"/>
        </w:numPr>
        <w:tabs>
          <w:tab w:val="left" w:pos="283"/>
          <w:tab w:val="left" w:pos="360"/>
        </w:tabs>
        <w:spacing w:before="36" w:beforeLines="15" w:line="252" w:lineRule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全程跟进日常跑测及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游戏国内</w:t>
      </w:r>
      <w:r>
        <w:rPr>
          <w:rFonts w:hint="eastAsia" w:ascii="Palatino Linotype" w:hAnsi="Palatino Linotype"/>
          <w:sz w:val="20"/>
          <w:szCs w:val="20"/>
        </w:rPr>
        <w:t>首轮Beta测试，基于玩家数据完成了对现有功能的问题排查与迭代闭环。</w:t>
      </w:r>
    </w:p>
    <w:p w14:paraId="1E6FF190">
      <w:pPr>
        <w:pStyle w:val="35"/>
        <w:numPr>
          <w:ilvl w:val="0"/>
          <w:numId w:val="1"/>
        </w:numPr>
        <w:tabs>
          <w:tab w:val="left" w:pos="283"/>
          <w:tab w:val="left" w:pos="360"/>
        </w:tabs>
        <w:spacing w:before="36" w:beforeLines="15" w:line="252" w:lineRule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从零搭建并维护游戏CBT版本Figma组件库，统一设计规范，显著提升跨职能团队协作与界面开发效率。</w:t>
      </w:r>
    </w:p>
    <w:p w14:paraId="149E8A9F">
      <w:pPr>
        <w:pStyle w:val="35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283"/>
          <w:tab w:val="left" w:pos="36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36" w:beforeLines="15" w:line="252" w:lineRule="auto"/>
        <w:ind w:left="283" w:hanging="283"/>
        <w:textAlignment w:val="auto"/>
        <w:rPr>
          <w:rFonts w:ascii="Palatino Linotype" w:hAnsi="Palatino Linotype"/>
          <w:sz w:val="20"/>
          <w:szCs w:val="20"/>
        </w:rPr>
      </w:pPr>
      <w:r>
        <w:rPr>
          <w:rFonts w:hint="eastAsia" w:ascii="Palatino Linotype" w:hAnsi="Palatino Linotype"/>
          <w:sz w:val="20"/>
          <w:szCs w:val="20"/>
        </w:rPr>
        <w:t>深度调研同赛道三款主要竞品，系统拆解其界面架构与核心功能设计逻辑，输出竞品分析报告并为项目交互</w:t>
      </w:r>
      <w:r>
        <w:rPr>
          <w:rFonts w:hint="eastAsia" w:ascii="Palatino Linotype" w:hAnsi="Palatino Linotype"/>
          <w:sz w:val="20"/>
          <w:szCs w:val="20"/>
          <w:lang w:val="en-US" w:eastAsia="zh-CN"/>
        </w:rPr>
        <w:t>方案</w:t>
      </w:r>
      <w:r>
        <w:rPr>
          <w:rFonts w:hint="eastAsia" w:ascii="Palatino Linotype" w:hAnsi="Palatino Linotype"/>
          <w:sz w:val="20"/>
          <w:szCs w:val="20"/>
        </w:rPr>
        <w:t>提供策略支持。</w:t>
      </w:r>
      <w:bookmarkEnd w:id="0"/>
      <w:bookmarkEnd w:id="1"/>
    </w:p>
    <w:sectPr>
      <w:pgSz w:w="11906" w:h="16838"/>
      <w:pgMar w:top="567" w:right="964" w:bottom="454" w:left="907" w:header="720" w:footer="720" w:gutter="0"/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Palatino Linotype">
    <w:altName w:val="苹方-简"/>
    <w:panose1 w:val="02040502050505030304"/>
    <w:charset w:val="00"/>
    <w:family w:val="roman"/>
    <w:pitch w:val="default"/>
    <w:sig w:usb0="00000000" w:usb1="00000000" w:usb2="00000000" w:usb3="00000000" w:csb0="0000019F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C39ACB"/>
    <w:multiLevelType w:val="singleLevel"/>
    <w:tmpl w:val="5EC39ACB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sz w:val="1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744"/>
    <w:rsid w:val="0000216E"/>
    <w:rsid w:val="00185F8F"/>
    <w:rsid w:val="001B131F"/>
    <w:rsid w:val="001F5744"/>
    <w:rsid w:val="00207DF6"/>
    <w:rsid w:val="002A3F5C"/>
    <w:rsid w:val="003E02B5"/>
    <w:rsid w:val="00457026"/>
    <w:rsid w:val="004B4EEC"/>
    <w:rsid w:val="00510F94"/>
    <w:rsid w:val="0052690F"/>
    <w:rsid w:val="007A7E63"/>
    <w:rsid w:val="009304D9"/>
    <w:rsid w:val="009629E7"/>
    <w:rsid w:val="009F220D"/>
    <w:rsid w:val="00B15BBC"/>
    <w:rsid w:val="00CD05AD"/>
    <w:rsid w:val="00DA1AB7"/>
    <w:rsid w:val="00DB6695"/>
    <w:rsid w:val="00E14190"/>
    <w:rsid w:val="00F3196C"/>
    <w:rsid w:val="17AB9943"/>
    <w:rsid w:val="27DB8F55"/>
    <w:rsid w:val="4ABAD23F"/>
    <w:rsid w:val="54F63B49"/>
    <w:rsid w:val="566EBEFD"/>
    <w:rsid w:val="63DEDD47"/>
    <w:rsid w:val="6E7D701F"/>
    <w:rsid w:val="6FFF8331"/>
    <w:rsid w:val="72EE145E"/>
    <w:rsid w:val="7B98175B"/>
    <w:rsid w:val="7DAEB931"/>
    <w:rsid w:val="7FDD9161"/>
    <w:rsid w:val="9FB256FF"/>
    <w:rsid w:val="B5FF4623"/>
    <w:rsid w:val="BFFCA4EC"/>
    <w:rsid w:val="CB3F0802"/>
    <w:rsid w:val="DFDBB369"/>
    <w:rsid w:val="E7FFEE44"/>
    <w:rsid w:val="F7E7B071"/>
    <w:rsid w:val="FEFF9F00"/>
    <w:rsid w:val="FF8B8648"/>
    <w:rsid w:val="FFFF5603"/>
    <w:rsid w:val="FFFFB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sume Align Right"/>
    <w:basedOn w:val="1"/>
    <w:qFormat/>
    <w:uiPriority w:val="0"/>
    <w:pPr>
      <w:tabs>
        <w:tab w:val="right" w:pos="10080"/>
      </w:tabs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660</Words>
  <Characters>814</Characters>
  <Lines>37</Lines>
  <Paragraphs>31</Paragraphs>
  <TotalTime>136</TotalTime>
  <ScaleCrop>false</ScaleCrop>
  <LinksUpToDate>false</LinksUpToDate>
  <CharactersWithSpaces>1443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2026-04-22T03:04:00Z</dcterms:created>
  <dc:creator>1404878958@qq.com</dc:creator>
  <cp:lastModifiedBy>刘昕昕然</cp:lastModifiedBy>
  <dcterms:modified xsi:type="dcterms:W3CDTF">2026-06-10T00:32:58Z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B822EBB6520069EC9D75EC69BAFC6BED_42</vt:lpwstr>
  </property>
</Properties>
</file>