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51C752">
      <w:pPr>
        <w:pStyle w:val="4"/>
        <w:jc w:val="center"/>
      </w:pPr>
      <w:r>
        <w:t>本体智能</w:t>
      </w:r>
    </w:p>
    <w:p w14:paraId="6CB054C5">
      <w:pPr>
        <w:jc w:val="center"/>
      </w:pPr>
      <w:r>
        <w:t>------AI 本体论与共享模型：从概念解析到 Palantir 落地实践</w:t>
      </w:r>
    </w:p>
    <w:p w14:paraId="700DA2DB"/>
    <w:p w14:paraId="5C162CD4">
      <w:r>
        <w:rPr>
          <w:b/>
        </w:rPr>
        <w:t>授课对象：</w:t>
      </w:r>
      <w:r>
        <w:t>企业架构师、数据治理负责人、知识图谱/数据中台团队、AI 平台与 Agent 工程师、业务分析师（关键用户）</w:t>
      </w:r>
    </w:p>
    <w:p w14:paraId="5ABB61D1">
      <w:r>
        <w:rPr>
          <w:b/>
        </w:rPr>
        <w:t>培训时长：</w:t>
      </w:r>
      <w:r>
        <w:rPr>
          <w:rFonts w:hint="eastAsia"/>
          <w:b/>
          <w:lang w:val="en-US" w:eastAsia="zh-CN"/>
        </w:rPr>
        <w:t>1天</w:t>
      </w:r>
      <w:r>
        <w:t>（6 小时</w:t>
      </w:r>
      <w:r>
        <w:rPr>
          <w:rFonts w:hint="eastAsia"/>
          <w:lang w:eastAsia="zh-CN"/>
        </w:rPr>
        <w:t>，</w:t>
      </w:r>
      <w:r>
        <w:t>上午 3 小时 + 下午 3 小时）</w:t>
      </w:r>
    </w:p>
    <w:p w14:paraId="6BA141B0"/>
    <w:p w14:paraId="6DBEE998">
      <w:pPr>
        <w:pStyle w:val="4"/>
      </w:pPr>
      <w:r>
        <w:t>课程背景</w:t>
      </w:r>
    </w:p>
    <w:p w14:paraId="281940CF">
      <w:r>
        <w:t>随着大语言模型与自主 Agent 在企业规模化落地，一个共性问题日益突出：Agent 能接触到海量数据，却常常读不懂数据的业务含义；同一术语在不同部门代表不同定义；检索出的数据无法被可靠推理，生成决策也难以写回业务流程。本质不是算力不足，而是缺少一份人与机器都能读懂的企业世界说明书。这就是本体论与共享模型重新回到舞台中央的原因。</w:t>
      </w:r>
    </w:p>
    <w:p w14:paraId="5CF8F4EA">
      <w:r>
        <w:t>共享模型由整个组织共同使用、经过治理，目标是确保所有集成数据 conform 到同一套模型，让每个概念都有据可查；Palantir Ontology 则是组织的运作层，坐在已集成的数字资产（数据集、虚拟表、模型）之上，同时包含语义元素（对象/属性/链接）与动能元素（动作/函数），其宗旨是表达企业的决策而非仅仅数据——一句话即本体即组织的操作系统与 API。</w:t>
      </w:r>
    </w:p>
    <w:p w14:paraId="3C8C3286">
      <w:r>
        <w:t>本课程专为企业数据与 AI 研发团队量身设计，紧扣 AI 本体论与共享模型主题，从本体核心概念出发，经由共享模型的语义治理与多 Agent 协同价值，深入到 Palantir 本体设计的对象/链接/动作原语与 AIP 四层交互架构，最后落地到实施五步法、全流程案例推演与成熟度评估，帮助团队构建系统化的本体建设能力，让 AI 应用真正建立在可信、可推理的企业语义基础之上。</w:t>
      </w:r>
      <w:bookmarkStart w:id="0" w:name="_GoBack"/>
      <w:bookmarkEnd w:id="0"/>
    </w:p>
    <w:p w14:paraId="21285F6C"/>
    <w:p w14:paraId="3FE33ED0">
      <w:pPr>
        <w:pStyle w:val="4"/>
      </w:pPr>
      <w:r>
        <w:rPr>
          <w:rFonts w:hint="eastAsia"/>
        </w:rPr>
        <w:t>【讲师</w:t>
      </w:r>
      <w:r>
        <w:t>简介</w:t>
      </w:r>
      <w:r>
        <w:rPr>
          <w:rFonts w:hint="eastAsia"/>
        </w:rPr>
        <w:t>】</w:t>
      </w:r>
    </w:p>
    <w:p w14:paraId="54BA1A2B">
      <w:r>
        <w:t>肖老师是资深 AI 架构专家与实战讲师，也是中国头部 ToB 软件厂商生态的企业级 AI 项目技术顾问。他是开源项目 k8e-sandbox（AI 原生隔离沙箱引擎）与字节开源 LoopX（长程任务引擎）的核心开发者，在 Agent 运行时基础设施、安全沙箱与长程任务治理领域兼具研究与工程经验。</w:t>
      </w:r>
    </w:p>
    <w:p w14:paraId="400DA6FB">
      <w:r>
        <w:t>拥有超过 10 年企业级系统架构设计与 AI 落地经验，曾主导某头部 ERP Agent 平台及相关企业级智能体项目的架构咨询与落地（涵盖 MCP 协议集成、多模型混合应用、财务/人力资源/供应链等核心场景的 Agent 构建）。擅长复杂 toB 系统的 DDD 领域建模、多文件重构、性能优化、自定义 SKILLS（技能库）积累与多代理协作设计。他曾为多家知名企业提供内部 AI 能力提升培训，风格注重实战落地、工具链配置与红线规范，深受架构师与高级开发团队欢迎。</w:t>
      </w:r>
    </w:p>
    <w:p w14:paraId="0B754AD5"/>
    <w:p w14:paraId="710B75AE">
      <w:pPr>
        <w:pStyle w:val="4"/>
      </w:pPr>
      <w:r>
        <w:t>课程收益</w:t>
      </w:r>
    </w:p>
    <w:p w14:paraId="52F5CF6E">
      <w:r>
        <w:t>• 区分本体、分类法、知识图谱、语义层与上下文图谱的不同职责与适用边界</w:t>
      </w:r>
    </w:p>
    <w:p w14:paraId="6F0A2257">
      <w:r>
        <w:t>• 掌握本体的五大核心要素，并在实际项目中用公理/约束把数据存储升级为机器推理</w:t>
      </w:r>
    </w:p>
    <w:p w14:paraId="19FB8EAA">
      <w:r>
        <w:t>• 理解共享模型的内涵及其治理语义漂移、支撑多 Agent 协同的核心价值</w:t>
      </w:r>
    </w:p>
    <w:p w14:paraId="19B34C8B">
      <w:r>
        <w:t>• 掌握 Palantir Ontology 的对象/链接/动作三元组设计与 AIP Agent 四层交互架构</w:t>
      </w:r>
    </w:p>
    <w:p w14:paraId="49C5B680">
      <w:r>
        <w:t>• 识别本体建设的常见反模式，掌握以端到端工作流决策点倒推设计的落地方法</w:t>
      </w:r>
    </w:p>
    <w:p w14:paraId="6DF6E2F4">
      <w:r>
        <w:t>• 运用成熟度评估五维指标盘点本企业现状，并完成一份我的落地三步走行动草图</w:t>
      </w:r>
    </w:p>
    <w:p w14:paraId="11DC4D87"/>
    <w:p w14:paraId="56D6C107">
      <w:pPr>
        <w:pStyle w:val="4"/>
      </w:pPr>
      <w:r>
        <w:t>授课对象</w:t>
      </w:r>
    </w:p>
    <w:p w14:paraId="7933FF46">
      <w:r>
        <w:t>企业架构师、数据治理负责人、知识图谱/数据中台团队、AI 平台与 Agent 工程师、业务分析师（关键用户）。（要求学员具备数据建模、数据仓库或知识图谱基础；无需本体论专业背景。）</w:t>
      </w:r>
    </w:p>
    <w:p w14:paraId="37698610"/>
    <w:p w14:paraId="0CFC18F1">
      <w:pPr>
        <w:pStyle w:val="4"/>
      </w:pPr>
      <w:r>
        <w:t>课程时间</w:t>
      </w:r>
    </w:p>
    <w:p w14:paraId="19E2AC34">
      <w:r>
        <w:t>标准时长为 6 小时（上午 3 小时 + 下午 3 小时），可根据企业需求灵活调整。</w:t>
      </w:r>
    </w:p>
    <w:p w14:paraId="4D54FEDC"/>
    <w:p w14:paraId="2B0F0B6D">
      <w:pPr>
        <w:pStyle w:val="4"/>
        <w:rPr>
          <w:rFonts w:hint="eastAsia" w:eastAsia="Noto Sans CJK SC"/>
          <w:lang w:val="en-US" w:eastAsia="zh-CN"/>
        </w:rPr>
      </w:pPr>
      <w:r>
        <w:t>课程</w:t>
      </w:r>
      <w:r>
        <w:rPr>
          <w:rFonts w:hint="eastAsia"/>
          <w:lang w:val="en-US" w:eastAsia="zh-CN"/>
        </w:rPr>
        <w:t>大纲</w:t>
      </w:r>
    </w:p>
    <w:p w14:paraId="7F47C6D9">
      <w:pPr>
        <w:pStyle w:val="4"/>
      </w:pPr>
      <w:r>
        <w:t>第一部分：AI 本体论核心概念——概念、要素与 Agent 时代（约 1.5 小时）</w:t>
      </w:r>
    </w:p>
    <w:p w14:paraId="27D0C2D2">
      <w:r>
        <w:rPr>
          <w:b/>
        </w:rPr>
        <w:t>1.1 本体的定义与核心五要素</w:t>
      </w:r>
    </w:p>
    <w:p w14:paraId="2093B982">
      <w:r>
        <w:rPr>
          <w:b/>
        </w:rPr>
        <w:t>1.2 本体与相近概念的辨析</w:t>
      </w:r>
    </w:p>
    <w:p w14:paraId="7359B6BA">
      <w:r>
        <w:rPr>
          <w:b/>
        </w:rPr>
        <w:t>1.3 为什么是现在：Agent 时代本体论的复兴</w:t>
      </w:r>
    </w:p>
    <w:p w14:paraId="388D0AEB"/>
    <w:p w14:paraId="090B70B6">
      <w:pPr>
        <w:pStyle w:val="4"/>
      </w:pPr>
      <w:r>
        <w:t>第二部分：共享模型——多智能体协同的约定契约（约 1.5 小时）</w:t>
      </w:r>
    </w:p>
    <w:p w14:paraId="2F035151">
      <w:r>
        <w:rPr>
          <w:b/>
        </w:rPr>
        <w:t>2.1 共享模型的定义与语义漂移治理</w:t>
      </w:r>
    </w:p>
    <w:p w14:paraId="51A840EA">
      <w:r>
        <w:rPr>
          <w:b/>
        </w:rPr>
        <w:t>2.2 共享模型在多 Agent 协同中的作用</w:t>
      </w:r>
    </w:p>
    <w:p w14:paraId="62D5F2BF">
      <w:r>
        <w:rPr>
          <w:b/>
        </w:rPr>
        <w:t>2.3 构建路径与维护机制</w:t>
      </w:r>
    </w:p>
    <w:p w14:paraId="1BB90688"/>
    <w:p w14:paraId="1485997A">
      <w:pPr>
        <w:pStyle w:val="4"/>
      </w:pPr>
      <w:r>
        <w:t>第三部分：双原贯通——Palantir 本体设计实战（约 1.5 小时）</w:t>
      </w:r>
    </w:p>
    <w:p w14:paraId="077BD211">
      <w:r>
        <w:rPr>
          <w:b/>
        </w:rPr>
        <w:t>3.1 Ontology 的定位与三大基本原语</w:t>
      </w:r>
    </w:p>
    <w:p w14:paraId="6526EB2E">
      <w:r>
        <w:rPr>
          <w:b/>
        </w:rPr>
        <w:t>3.2 AIP Agent 的四层交互架构</w:t>
      </w:r>
    </w:p>
    <w:p w14:paraId="3A2C2D34">
      <w:r>
        <w:rPr>
          <w:b/>
        </w:rPr>
        <w:t>3.3 设计原则、反模式与设计纪律</w:t>
      </w:r>
    </w:p>
    <w:p w14:paraId="24499A67"/>
    <w:p w14:paraId="7C29854A">
      <w:pPr>
        <w:pStyle w:val="4"/>
      </w:pPr>
      <w:r>
        <w:t>第四部分：落地生根——实施路径、案例与总结（约 1.5 小时）</w:t>
      </w:r>
    </w:p>
    <w:p w14:paraId="0F926039">
      <w:r>
        <w:rPr>
          <w:b/>
        </w:rPr>
        <w:t>4.1 Onyx 医疗制造商原料短缺全流程推演</w:t>
      </w:r>
    </w:p>
    <w:p w14:paraId="3936E8F0">
      <w:r>
        <w:rPr>
          <w:b/>
        </w:rPr>
        <w:t>4.2 行业案例速览与本体成熟度评估</w:t>
      </w:r>
    </w:p>
    <w:p w14:paraId="79A128C9">
      <w:r>
        <w:rPr>
          <w:b/>
        </w:rPr>
        <w:t>4.3 风险挑战、总结与我的落地三步走</w:t>
      </w:r>
    </w:p>
    <w:sectPr>
      <w:headerReference r:id="rId5" w:type="default"/>
      <w:footerReference r:id="rId6" w:type="default"/>
      <w:pgSz w:w="12240" w:h="15840"/>
      <w:pgMar w:top="1440" w:right="1800" w:bottom="1440" w:left="1800" w:header="720" w:footer="720" w:gutter="0"/>
      <w:pgNumType w:fmt="decimal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Noto Sans CJK SC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6B4E07">
    <w:pPr>
      <w:pStyle w:val="24"/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1B36277">
                          <w:pPr>
                            <w:pStyle w:val="2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1B36277">
                    <w:pPr>
                      <w:pStyle w:val="2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FF57BD">
    <w:pPr>
      <w:jc w:val="right"/>
      <w:rPr>
        <w:rFonts w:hint="default" w:eastAsia="Noto Sans CJK SC"/>
        <w:lang w:val="en-US" w:eastAsia="zh-CN"/>
      </w:rPr>
    </w:pPr>
    <w:r>
      <w:t>企业数据与 AI 架构团队</w:t>
    </w:r>
    <w:r>
      <w:rPr>
        <w:rFonts w:hint="eastAsia"/>
        <w:lang w:val="en-US" w:eastAsia="zh-CN"/>
      </w:rPr>
      <w:t>培训课程</w:t>
    </w:r>
  </w:p>
  <w:p w14:paraId="7BDBD861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DF9DA6"/>
    <w:rsid w:val="167AD722"/>
    <w:rsid w:val="1EFBB7BA"/>
    <w:rsid w:val="1FFFF5DB"/>
    <w:rsid w:val="37F7F035"/>
    <w:rsid w:val="37FAA2EC"/>
    <w:rsid w:val="3B3F6A9C"/>
    <w:rsid w:val="3CD7C63A"/>
    <w:rsid w:val="3FF7EC4B"/>
    <w:rsid w:val="59EDDF1A"/>
    <w:rsid w:val="59FEA994"/>
    <w:rsid w:val="5DFDF113"/>
    <w:rsid w:val="5EF98819"/>
    <w:rsid w:val="5FDFABDD"/>
    <w:rsid w:val="62BFF958"/>
    <w:rsid w:val="673B88BD"/>
    <w:rsid w:val="6E579AA6"/>
    <w:rsid w:val="6E77C803"/>
    <w:rsid w:val="71FF1C5A"/>
    <w:rsid w:val="777AD360"/>
    <w:rsid w:val="78EF9D0A"/>
    <w:rsid w:val="7B5D33A4"/>
    <w:rsid w:val="7D641D37"/>
    <w:rsid w:val="7DCF405B"/>
    <w:rsid w:val="7EBF0A02"/>
    <w:rsid w:val="7EE5115E"/>
    <w:rsid w:val="7F7F3B78"/>
    <w:rsid w:val="7FEEE3D3"/>
    <w:rsid w:val="7FEF7C40"/>
    <w:rsid w:val="7FFBF9D5"/>
    <w:rsid w:val="8B778186"/>
    <w:rsid w:val="99F7C8FA"/>
    <w:rsid w:val="9FBF4F2B"/>
    <w:rsid w:val="A1CFB6B3"/>
    <w:rsid w:val="AFE7DA44"/>
    <w:rsid w:val="B5FFDD06"/>
    <w:rsid w:val="BA4DE508"/>
    <w:rsid w:val="BDFFED79"/>
    <w:rsid w:val="BEFFC1AE"/>
    <w:rsid w:val="BF9B945E"/>
    <w:rsid w:val="CBFF6FD4"/>
    <w:rsid w:val="CC7CF290"/>
    <w:rsid w:val="CD476901"/>
    <w:rsid w:val="DAFB7378"/>
    <w:rsid w:val="DEBEF618"/>
    <w:rsid w:val="DEDDC6E3"/>
    <w:rsid w:val="EEF7E2DC"/>
    <w:rsid w:val="EFB54EAA"/>
    <w:rsid w:val="EFBF79FB"/>
    <w:rsid w:val="EFEFE8EC"/>
    <w:rsid w:val="F9EF9636"/>
    <w:rsid w:val="FB391C14"/>
    <w:rsid w:val="FDBE6605"/>
    <w:rsid w:val="FEDE81F8"/>
    <w:rsid w:val="FEFD5205"/>
    <w:rsid w:val="FEFF6CC8"/>
    <w:rsid w:val="FFD74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="Noto Sans CJK SC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eastAsia="Noto Sans CJK SC" w:asciiTheme="minorHAnsi" w:hAnsiTheme="minorHAnsi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eastAsia="Noto Sans CJK SC" w:asciiTheme="majorHAnsi" w:hAnsiTheme="majorHAnsi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eastAsia="Noto Sans CJK SC" w:asciiTheme="majorHAnsi" w:hAnsiTheme="majorHAnsi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eastAsia="Noto Sans CJK SC" w:asciiTheme="majorHAnsi" w:hAnsiTheme="majorHAnsi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eastAsia="Noto Sans CJK SC" w:asciiTheme="majorHAnsi" w:hAnsiTheme="majorHAnsi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eastAsia="Noto Sans CJK SC" w:asciiTheme="majorHAnsi" w:hAnsiTheme="majorHAnsi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eastAsia="Noto Sans CJK SC" w:asciiTheme="majorHAnsi" w:hAnsiTheme="majorHAnsi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eastAsia="Noto Sans CJK SC" w:asciiTheme="majorHAnsi" w:hAnsiTheme="majorHAnsi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eastAsia="Noto Sans CJK SC" w:asciiTheme="majorHAnsi" w:hAnsiTheme="majorHAnsi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eastAsia="Noto Sans CJK SC" w:asciiTheme="majorHAnsi" w:hAnsiTheme="majorHAnsi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="Noto Sans CJK SC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eastAsia="Noto Sans CJK SC" w:asciiTheme="majorHAnsi" w:hAnsiTheme="majorHAnsi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eastAsia="Noto Sans CJK SC" w:asciiTheme="majorHAnsi" w:hAnsiTheme="majorHAnsi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Noto Sans CJK SC" w:asciiTheme="majorHAnsi" w:hAnsiTheme="majorHAnsi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Noto Sans CJK SC" w:asciiTheme="majorHAnsi" w:hAnsiTheme="majorHAnsi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eastAsia="Noto Sans CJK SC" w:asciiTheme="majorHAnsi" w:hAnsiTheme="majorHAnsi" w:cstheme="majorBidi"/>
        <w:b/>
        <w:bCs/>
      </w:rPr>
    </w:tblStylePr>
    <w:tblStylePr w:type="lastCol">
      <w:rPr>
        <w:rFonts w:eastAsia="Noto Sans CJK SC" w:asciiTheme="majorHAnsi" w:hAnsiTheme="majorHAnsi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Noto Sans CJK SC" w:asciiTheme="majorHAnsi" w:hAnsiTheme="majorHAnsi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Noto Sans CJK SC" w:asciiTheme="majorHAnsi" w:hAnsiTheme="majorHAnsi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eastAsia="Noto Sans CJK SC" w:asciiTheme="majorHAnsi" w:hAnsiTheme="majorHAnsi" w:cstheme="majorBidi"/>
        <w:b/>
        <w:bCs/>
      </w:rPr>
    </w:tblStylePr>
    <w:tblStylePr w:type="lastCol">
      <w:rPr>
        <w:rFonts w:eastAsia="Noto Sans CJK SC" w:asciiTheme="majorHAnsi" w:hAnsiTheme="majorHAnsi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Noto Sans CJK SC" w:asciiTheme="majorHAnsi" w:hAnsiTheme="majorHAnsi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Noto Sans CJK SC" w:asciiTheme="majorHAnsi" w:hAnsiTheme="majorHAnsi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eastAsia="Noto Sans CJK SC" w:asciiTheme="majorHAnsi" w:hAnsiTheme="majorHAnsi" w:cstheme="majorBidi"/>
        <w:b/>
        <w:bCs/>
      </w:rPr>
    </w:tblStylePr>
    <w:tblStylePr w:type="lastCol">
      <w:rPr>
        <w:rFonts w:eastAsia="Noto Sans CJK SC" w:asciiTheme="majorHAnsi" w:hAnsiTheme="majorHAnsi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Noto Sans CJK SC" w:asciiTheme="majorHAnsi" w:hAnsiTheme="majorHAnsi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Noto Sans CJK SC" w:asciiTheme="majorHAnsi" w:hAnsiTheme="majorHAnsi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eastAsia="Noto Sans CJK SC" w:asciiTheme="majorHAnsi" w:hAnsiTheme="majorHAnsi" w:cstheme="majorBidi"/>
        <w:b/>
        <w:bCs/>
      </w:rPr>
    </w:tblStylePr>
    <w:tblStylePr w:type="lastCol">
      <w:rPr>
        <w:rFonts w:eastAsia="Noto Sans CJK SC" w:asciiTheme="majorHAnsi" w:hAnsiTheme="majorHAnsi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Noto Sans CJK SC" w:asciiTheme="majorHAnsi" w:hAnsiTheme="majorHAnsi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Noto Sans CJK SC" w:asciiTheme="majorHAnsi" w:hAnsiTheme="majorHAnsi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eastAsia="Noto Sans CJK SC" w:asciiTheme="majorHAnsi" w:hAnsiTheme="majorHAnsi" w:cstheme="majorBidi"/>
        <w:b/>
        <w:bCs/>
      </w:rPr>
    </w:tblStylePr>
    <w:tblStylePr w:type="lastCol">
      <w:rPr>
        <w:rFonts w:eastAsia="Noto Sans CJK SC" w:asciiTheme="majorHAnsi" w:hAnsiTheme="majorHAnsi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Noto Sans CJK SC" w:asciiTheme="majorHAnsi" w:hAnsiTheme="majorHAnsi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Noto Sans CJK SC" w:asciiTheme="majorHAnsi" w:hAnsiTheme="majorHAnsi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eastAsia="Noto Sans CJK SC" w:asciiTheme="majorHAnsi" w:hAnsiTheme="majorHAnsi" w:cstheme="majorBidi"/>
        <w:b/>
        <w:bCs/>
      </w:rPr>
    </w:tblStylePr>
    <w:tblStylePr w:type="lastCol">
      <w:rPr>
        <w:rFonts w:eastAsia="Noto Sans CJK SC" w:asciiTheme="majorHAnsi" w:hAnsiTheme="majorHAnsi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Noto Sans CJK SC" w:asciiTheme="majorHAnsi" w:hAnsiTheme="majorHAnsi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Noto Sans CJK SC" w:asciiTheme="majorHAnsi" w:hAnsiTheme="majorHAnsi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eastAsia="Noto Sans CJK SC" w:asciiTheme="majorHAnsi" w:hAnsiTheme="majorHAnsi" w:cstheme="majorBidi"/>
        <w:b/>
        <w:bCs/>
      </w:rPr>
    </w:tblStylePr>
    <w:tblStylePr w:type="lastCol">
      <w:rPr>
        <w:rFonts w:eastAsia="Noto Sans CJK SC" w:asciiTheme="majorHAnsi" w:hAnsiTheme="majorHAnsi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Noto Sans CJK SC" w:asciiTheme="majorHAnsi" w:hAnsiTheme="majorHAnsi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Noto Sans CJK SC" w:asciiTheme="majorHAnsi" w:hAnsiTheme="majorHAnsi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Noto Sans CJK SC" w:asciiTheme="majorHAnsi" w:hAnsiTheme="majorHAnsi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Noto Sans CJK SC" w:asciiTheme="majorHAnsi" w:hAnsiTheme="majorHAnsi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Noto Sans CJK SC" w:asciiTheme="majorHAnsi" w:hAnsiTheme="majorHAnsi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Noto Sans CJK SC" w:asciiTheme="majorHAnsi" w:hAnsiTheme="majorHAnsi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Noto Sans CJK SC" w:asciiTheme="majorHAnsi" w:hAnsiTheme="majorHAnsi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eastAsia="Noto Sans CJK SC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eastAsia="Noto Sans CJK SC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eastAsia="Noto Sans CJK SC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eastAsia="Noto Sans CJK SC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eastAsia="Noto Sans CJK SC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eastAsia="Noto Sans CJK SC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eastAsia="Noto Sans CJK SC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eastAsia="Noto Sans CJK SC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eastAsia="Noto Sans CJK SC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eastAsia="Noto Sans CJK SC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eastAsia="Noto Sans CJK SC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eastAsia="Noto Sans CJK SC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eastAsia="Noto Sans CJK SC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eastAsia="Noto Sans CJK SC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eastAsia="Noto Sans CJK SC" w:asciiTheme="minorHAnsi" w:hAnsiTheme="minorHAnsi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eastAsia="Noto Sans CJK SC" w:asciiTheme="majorHAnsi" w:hAnsiTheme="majorHAnsi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eastAsia="Noto Sans CJK SC" w:asciiTheme="majorHAnsi" w:hAnsiTheme="majorHAnsi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eastAsia="Noto Sans CJK SC" w:asciiTheme="majorHAnsi" w:hAnsiTheme="majorHAnsi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eastAsia="Noto Sans CJK SC" w:asciiTheme="majorHAnsi" w:hAnsiTheme="majorHAnsi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eastAsia="Noto Sans CJK SC" w:asciiTheme="majorHAnsi" w:hAnsiTheme="majorHAnsi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eastAsia="Noto Sans CJK SC" w:asciiTheme="majorHAnsi" w:hAnsiTheme="majorHAnsi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eastAsia="Noto Sans CJK SC" w:asciiTheme="majorHAnsi" w:hAnsiTheme="majorHAnsi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eastAsia="Noto Sans CJK SC" w:asciiTheme="majorHAnsi" w:hAnsiTheme="majorHAnsi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eastAsia="Noto Sans CJK SC" w:asciiTheme="majorHAnsi" w:hAnsiTheme="majorHAnsi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eastAsia="Noto Sans CJK SC" w:asciiTheme="majorHAnsi" w:hAnsiTheme="majorHAnsi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eastAsia="Noto Sans CJK SC" w:asciiTheme="majorHAnsi" w:hAnsiTheme="majorHAnsi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老肖</cp:lastModifiedBy>
  <dcterms:modified xsi:type="dcterms:W3CDTF">2026-08-28T20:01:19Z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EDE5DEA5B717E133B174916A26623AE5_42</vt:lpwstr>
  </property>
</Properties>
</file>