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题库分层：基础 70% + 进阶 20% + 挑战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针对性训练：按错题高频考点重点突破。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复盘环节：每周 30 分钟对错题做关联分析。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题库建设的三个维度：覆盖度、错题率、复盘频率。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建议结合合适方式搭建 7 种格式知识库，让错题归档到本地永久可查。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