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笔试题型盘点：互联网/金融/国企差异</w:t>
      </w:r>
    </w:p>
    <w:p>
      <w:pPr>
        <w:spacing w:after="120" w:line="384" w:lineRule="auto"/>
      </w:pPr>
      <w:r>
        <w:rPr>
          <w:rFonts w:ascii="微软雅黑" w:hAnsi="微软雅黑" w:eastAsia="微软雅黑"/>
          <w:b/>
          <w:color w:val="FF2442"/>
          <w:sz w:val="22"/>
        </w:rPr>
        <w:t>📌 30 秒看懂这篇：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笔试题型分布盘点还在焦虑怎么应对？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×，不行，光刷题没用——方法不对，事倍功半。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×，不行，光等机会——主动管理才有 Offer。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那到底怎么办？🤔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FF2442"/>
          <w:sz w:val="22"/>
        </w:rPr>
        <w:t>**这里有解决方案**——而且不止一种。</w:t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18"/>
        </w:rPr>
        <w:t>【配图 1】本主题核心要点速查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635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code_wecha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635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↑ 长按识别二维码 · 加企业微信咨询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📋 核心要点速记：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互联网行业：行测 30% + 编程/算法 40% + 案例分析 30%。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金融行业：行测 40% + 英语 20% + 数字推理 20% + 财经知识 20%。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央国企：行测 50% + 时政 20% + 公文写作 20% + 专业 10%。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4. 求职策略调整：根据目标行业调整刷题模块的占比。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💡 一个关键思路：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FF2442"/>
          <w:sz w:val="22"/>
        </w:rPr>
        <w:t>先确定 1-2 个目标行业，然后专项刷对应模块。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👆 想更系统的解法？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这里有解决方案，而且不止一种。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想看具体怎么操作，看我主页简介有官网链接。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