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 12.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Acelormittal is a public limited company (PLC).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PLC characteristics: - not all of the shareholders are known,a minimum of 3 shareholders are required to start a PLC and there are  no restrictions on the maximum number of shareholders .As for AcelorMittal 60 % of the shares are owned by anonymous shareholders.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access to 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PLC is likely to have a much larger number of external shareholders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Liquidity (Shareholders are able to buy and sell their shares)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markets will govern the value of the company though the trading of the company’s shares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of shares (the value of the firm is shown by the market capitalisation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public scrutiny of the company’s financial performance and actions.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Easier to make acquisitions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c. According to the Dutch legislation an PLC is similar to a “ naamloos vennootschap” (nv).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Similarities: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Publicly traded ( Part of the shareholders ar anonymous).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Partners only liable to the extent of their investment.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Business form suitable for big companies.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Highest authority is the annual general meeting of the shareholders (AGM).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Year-round led by the board of directors.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d. The biggest reason for choosing an PLC is the size of the business. Acelormittal Gent has over 5800 internal employees and 13000 direct and indirect employees. Liability is also a big reason. Trading the company publicly shares the risk between investors. PLCs can also operate anywhere in the the world opening new markets.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