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 w:eastAsia="黑体"/>
          <w:b/>
          <w:color w:val="1F4E79"/>
          <w:sz w:val="36"/>
        </w:rPr>
        <w:t>中文 Word 生成测试：编码、字体与版式基线</w:t>
      </w:r>
    </w:p>
    <w:p>
      <w:pPr>
        <w:spacing w:after="360"/>
        <w:jc w:val="center"/>
      </w:pPr>
      <w:r>
        <w:rPr>
          <w:rFonts w:ascii="Times New Roman" w:hAnsi="Times New Roman" w:eastAsia="宋体"/>
          <w:color w:val="595959"/>
          <w:sz w:val="21"/>
        </w:rPr>
        <w:t>UTF-8 输入文件 + python-docx + 显式中文字体设置 + 渲染前检查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08"/>
      </w:tblGrid>
      <w:tr>
        <w:tc>
          <w:tcPr>
            <w:tcW w:type="dxa" w:w="9008"/>
            <w:shd w:fill="EAF2F8"/>
            <w:tcMar>
              <w:top w:w="180" w:type="dxa"/>
              <w:start w:w="180" w:type="dxa"/>
              <w:bottom w:w="180" w:type="dxa"/>
              <w:end w:w="18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color w:val="1F4E79"/>
                <w:sz w:val="21"/>
              </w:rPr>
              <w:t>本文件用于验证中文文件名、中文正文、英文术语、作者引用、表格和参考文献在 Word 生成流程中不会变成问号或乱码。</w:t>
            </w:r>
          </w:p>
        </w:tc>
      </w:tr>
    </w:tbl>
    <w:p/>
    <w:p>
      <w:pPr>
        <w:pStyle w:val="Heading1"/>
      </w:pPr>
      <w:r>
        <w:t>一、为什么会出现问号</w:t>
      </w:r>
    </w:p>
    <w:p>
      <w:pPr>
        <w:spacing w:lineRule="auto" w:line="360" w:before="0" w:after="120"/>
        <w:ind w:firstLine="420"/>
      </w:pPr>
      <w:r>
        <w:rPr>
          <w:rFonts w:ascii="Times New Roman" w:hAnsi="Times New Roman" w:eastAsia="宋体"/>
          <w:sz w:val="21"/>
        </w:rPr>
        <w:t>截图中的连续问号通常说明中文字符在进入 .docx 之前已经被错误编码替换。常见原因包括 PowerShell 管道默认编码、脚本 stdout/stdin 转码、中间文件未声明 UTF-8，或者用错误编码读取含中文路径与中文内容的文件。</w:t>
      </w:r>
    </w:p>
    <w:p>
      <w:pPr>
        <w:spacing w:lineRule="auto" w:line="360" w:before="0" w:after="120"/>
        <w:ind w:firstLine="420"/>
      </w:pPr>
      <w:r>
        <w:rPr>
          <w:rFonts w:ascii="Times New Roman" w:hAnsi="Times New Roman" w:eastAsia="宋体"/>
          <w:sz w:val="21"/>
        </w:rPr>
        <w:t>因此，稳妥做法是避免用 shell 管道传递中文正文，而是把正文放在 UTF-8 JSON、Markdown 或数据库记录中，由 Python 直接读取。</w:t>
      </w:r>
      <w:r>
        <w:rPr>
          <w:rFonts w:ascii="Times New Roman" w:hAnsi="Times New Roman" w:eastAsia="宋体"/>
          <w:i/>
          <w:sz w:val="21"/>
        </w:rPr>
        <w:t>AI washing</w:t>
      </w:r>
      <w:r>
        <w:rPr>
          <w:rFonts w:ascii="Times New Roman" w:hAnsi="Times New Roman" w:eastAsia="宋体"/>
          <w:sz w:val="21"/>
        </w:rPr>
        <w:t>、Sun et al., 2026 这类英文术语与引用可以和中文自然混排。</w:t>
      </w:r>
    </w:p>
    <w:p>
      <w:pPr>
        <w:pStyle w:val="Heading1"/>
      </w:pPr>
      <w:r>
        <w:t>二、推荐的 Word 生成约定</w:t>
      </w:r>
    </w:p>
    <w:p>
      <w:pPr>
        <w:spacing w:lineRule="auto" w:line="360" w:before="0" w:after="120"/>
        <w:ind w:firstLine="420"/>
      </w:pPr>
      <w:r>
        <w:rPr>
          <w:rFonts w:ascii="Times New Roman" w:hAnsi="Times New Roman" w:eastAsia="宋体"/>
          <w:sz w:val="21"/>
        </w:rPr>
        <w:t>正文中文字体使用宋体，英文与数字使用 Times New Roman；一级标题使用黑体并保留足够段前段后距离；正文采用小四字号与 1.5 倍行距。这样既适合中文论文写作，也便于后续按学校模板调整。</w:t>
      </w:r>
    </w:p>
    <w:p>
      <w:pPr>
        <w:spacing w:lineRule="auto" w:line="360" w:before="0" w:after="120"/>
        <w:ind w:firstLine="420"/>
      </w:pPr>
      <w:r>
        <w:rPr>
          <w:rFonts w:ascii="Times New Roman" w:hAnsi="Times New Roman" w:eastAsia="宋体"/>
          <w:sz w:val="21"/>
        </w:rPr>
        <w:t>中文文件名也应该直接传给 pathlib.Path，而不是在 PowerShell 字符串、管道和重定向之间反复转换。本测试文档本身就使用中文文件名输出。</w:t>
      </w:r>
    </w:p>
    <w:p>
      <w:pPr>
        <w:pStyle w:val="Heading1"/>
      </w:pPr>
      <w:r>
        <w:t>文献矩阵示例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2"/>
        <w:gridCol w:w="1802"/>
        <w:gridCol w:w="1802"/>
        <w:gridCol w:w="1802"/>
        <w:gridCol w:w="1802"/>
      </w:tblGrid>
      <w:tr>
        <w:trPr>
          <w:tblHeader w:val="true"/>
        </w:trPr>
        <w:tc>
          <w:tcPr>
            <w:tcW w:type="dxa" w:w="1474"/>
            <w:vAlign w:val="center"/>
            <w:shd w:fill="D9EAF7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1F4E79"/>
                <w:sz w:val="19"/>
              </w:rPr>
              <w:t>主题</w:t>
            </w:r>
          </w:p>
        </w:tc>
        <w:tc>
          <w:tcPr>
            <w:tcW w:type="dxa" w:w="1814"/>
            <w:vAlign w:val="center"/>
            <w:shd w:fill="D9EAF7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1F4E79"/>
                <w:sz w:val="19"/>
              </w:rPr>
              <w:t>理论基础</w:t>
            </w:r>
          </w:p>
        </w:tc>
        <w:tc>
          <w:tcPr>
            <w:tcW w:type="dxa" w:w="1814"/>
            <w:vAlign w:val="center"/>
            <w:shd w:fill="D9EAF7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1F4E79"/>
                <w:sz w:val="19"/>
              </w:rPr>
              <w:t>方法/数据</w:t>
            </w:r>
          </w:p>
        </w:tc>
        <w:tc>
          <w:tcPr>
            <w:tcW w:type="dxa" w:w="2438"/>
            <w:vAlign w:val="center"/>
            <w:shd w:fill="D9EAF7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1F4E79"/>
                <w:sz w:val="19"/>
              </w:rPr>
              <w:t>核心结论</w:t>
            </w:r>
          </w:p>
        </w:tc>
        <w:tc>
          <w:tcPr>
            <w:tcW w:type="dxa" w:w="2154"/>
            <w:vAlign w:val="center"/>
            <w:shd w:fill="D9EAF7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1F4E79"/>
                <w:sz w:val="19"/>
              </w:rPr>
              <w:t>可借鉴点</w:t>
            </w:r>
          </w:p>
        </w:tc>
      </w:tr>
      <w:tr>
        <w:tc>
          <w:tcPr>
            <w:tcW w:type="dxa" w:w="147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300" w:lineRule="auto" w:after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AI washing 与组织披露</w:t>
            </w:r>
          </w:p>
        </w:tc>
        <w:tc>
          <w:tcPr>
            <w:tcW w:type="dxa" w:w="181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300" w:lineRule="auto" w:after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合法性理论；信号理论</w:t>
            </w:r>
          </w:p>
        </w:tc>
        <w:tc>
          <w:tcPr>
            <w:tcW w:type="dxa" w:w="181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300" w:lineRule="auto" w:after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企业文本披露与案例比较</w:t>
            </w:r>
          </w:p>
        </w:tc>
        <w:tc>
          <w:tcPr>
            <w:tcW w:type="dxa" w:w="243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300" w:lineRule="auto" w:after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企业可能通过模糊化 AI 能力来获得资本市场与公众注意。</w:t>
            </w:r>
          </w:p>
        </w:tc>
        <w:tc>
          <w:tcPr>
            <w:tcW w:type="dxa" w:w="215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300" w:lineRule="auto" w:after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可用于界定概念边界与提出披露质量假设。</w:t>
            </w:r>
          </w:p>
        </w:tc>
      </w:tr>
      <w:tr>
        <w:tc>
          <w:tcPr>
            <w:tcW w:type="dxa" w:w="147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300" w:lineRule="auto" w:after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绿色洗白类比</w:t>
            </w:r>
          </w:p>
        </w:tc>
        <w:tc>
          <w:tcPr>
            <w:tcW w:type="dxa" w:w="181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300" w:lineRule="auto" w:after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制度理论；利益相关者理论</w:t>
            </w:r>
          </w:p>
        </w:tc>
        <w:tc>
          <w:tcPr>
            <w:tcW w:type="dxa" w:w="181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300" w:lineRule="auto" w:after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文献综述与二手数据分析</w:t>
            </w:r>
          </w:p>
        </w:tc>
        <w:tc>
          <w:tcPr>
            <w:tcW w:type="dxa" w:w="243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300" w:lineRule="auto" w:after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洗白行为常出现在外部评价压力较高且实质能力不足的组织中。</w:t>
            </w:r>
          </w:p>
        </w:tc>
        <w:tc>
          <w:tcPr>
            <w:tcW w:type="dxa" w:w="215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300" w:lineRule="auto" w:after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可借鉴其测量思路，构造 AI washing 指标。</w:t>
            </w:r>
          </w:p>
        </w:tc>
      </w:tr>
      <w:tr>
        <w:tc>
          <w:tcPr>
            <w:tcW w:type="dxa" w:w="147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300" w:lineRule="auto" w:after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数字化转型叙事</w:t>
            </w:r>
          </w:p>
        </w:tc>
        <w:tc>
          <w:tcPr>
            <w:tcW w:type="dxa" w:w="181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300" w:lineRule="auto" w:after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资源基础观；叙事战略</w:t>
            </w:r>
          </w:p>
        </w:tc>
        <w:tc>
          <w:tcPr>
            <w:tcW w:type="dxa" w:w="181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300" w:lineRule="auto" w:after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年报文本分析</w:t>
            </w:r>
          </w:p>
        </w:tc>
        <w:tc>
          <w:tcPr>
            <w:tcW w:type="dxa" w:w="243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300" w:lineRule="auto" w:after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数字化叙事可能既反映真实能力，也可能服务于印象管理。</w:t>
            </w:r>
          </w:p>
        </w:tc>
        <w:tc>
          <w:tcPr>
            <w:tcW w:type="dxa" w:w="215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300" w:lineRule="auto" w:after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可用于区分真实 AI 能力与象征性 AI 表述。</w:t>
            </w:r>
          </w:p>
        </w:tc>
      </w:tr>
    </w:tbl>
    <w:p>
      <w:pPr>
        <w:pStyle w:val="Heading1"/>
      </w:pPr>
      <w:r>
        <w:t>参考文献示例</w:t>
      </w:r>
    </w:p>
    <w:p>
      <w:pPr>
        <w:spacing w:line="300" w:lineRule="auto" w:after="80"/>
        <w:ind w:left="420" w:hanging="420"/>
      </w:pPr>
      <w:r>
        <w:rPr>
          <w:rFonts w:ascii="Times New Roman" w:hAnsi="Times New Roman" w:eastAsia="宋体"/>
          <w:sz w:val="20"/>
        </w:rPr>
        <w:t>Connelly, B. L., Certo, S. T., Ireland, R. D., &amp; Reutzel, C. R. (2011). Signaling theory: A review and assessment. Journal of Management, 37(1), 39-67.</w:t>
      </w:r>
    </w:p>
    <w:p>
      <w:pPr>
        <w:spacing w:line="300" w:lineRule="auto" w:after="80"/>
        <w:ind w:left="420" w:hanging="420"/>
      </w:pPr>
      <w:r>
        <w:rPr>
          <w:rFonts w:ascii="Times New Roman" w:hAnsi="Times New Roman" w:eastAsia="宋体"/>
          <w:sz w:val="20"/>
        </w:rPr>
        <w:t>Linnenluecke, M. K. (2017). Resilience in business and management research: A review of influential publications and a research agenda. International Journal of Management Reviews, 19(1), 4-30.</w:t>
      </w:r>
    </w:p>
    <w:p>
      <w:pPr>
        <w:spacing w:line="300" w:lineRule="auto" w:after="80"/>
        <w:ind w:left="420" w:hanging="420"/>
      </w:pPr>
      <w:r>
        <w:rPr>
          <w:rFonts w:ascii="Times New Roman" w:hAnsi="Times New Roman" w:eastAsia="宋体"/>
          <w:sz w:val="20"/>
        </w:rPr>
        <w:t>Ortiz-de-Mandojana, N., &amp; Bansal, P. (2016). The long-term benefits of organizational resilience through sustainable business practices. Strategic Management Journal, 37(8), 1615-1631.</w:t>
      </w:r>
    </w:p>
    <w:p>
      <w:pPr>
        <w:spacing w:line="300" w:lineRule="auto" w:after="80"/>
        <w:ind w:left="420" w:hanging="420"/>
      </w:pPr>
      <w:r>
        <w:rPr>
          <w:rFonts w:ascii="Times New Roman" w:hAnsi="Times New Roman" w:eastAsia="宋体"/>
          <w:sz w:val="20"/>
        </w:rPr>
        <w:t>Elsayed, N. (2025). Artificial intelligence disclosures and corporate impression management. 示例参考文献，供中文 Word 编码测试使用。</w:t>
      </w:r>
    </w:p>
    <w:p>
      <w:pPr>
        <w:sectPr>
          <w:pgSz w:w="12240" w:h="15840"/>
          <w:pgMar w:top="1440" w:right="1531" w:bottom="1440" w:left="1701" w:header="720" w:footer="720" w:gutter="0"/>
          <w:cols w:space="720"/>
          <w:docGrid w:linePitch="360"/>
        </w:sectPr>
      </w:pPr>
    </w:p>
    <w:sectPr w:rsidR="00FC693F" w:rsidRPr="0006063C" w:rsidSect="00034616">
      <w:type w:val="continuous"/>
      <w:pgSz w:w="12240" w:h="15840"/>
      <w:pgMar w:top="1440" w:right="1531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60" w:after="120"/>
    </w:pPr>
    <w:rPr>
      <w:rFonts w:ascii="Times New Roman" w:hAnsi="Times New Roman" w:eastAsia="宋体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60" w:line="240" w:lineRule="auto"/>
      <w:contextualSpacing/>
      <w:jc w:val="center"/>
    </w:pPr>
    <w:rPr>
      <w:rFonts w:asciiTheme="majorHAnsi" w:eastAsiaTheme="majorEastAsia" w:hAnsiTheme="majorHAnsi" w:cstheme="majorBidi" w:ascii="Times New Roman" w:hAnsi="Times New Roman" w:eastAsia="黑体"/>
      <w:b/>
      <w:color w:val="1F4E79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