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二轮修改文献搜集清单</w:t>
      </w:r>
    </w:p>
    <w:p/>
    <w:p>
      <w:r>
        <w:t>适用论文：《动态能力视角下财务智能化赋能应收账款管理研究——以A公司为例》</w:t>
      </w:r>
    </w:p>
    <w:p/>
    <w:p>
      <w:r>
        <w:t>使用原则：</w:t>
      </w:r>
    </w:p>
    <w:p>
      <w:pPr>
        <w:pStyle w:val="ListBullet"/>
      </w:pPr>
      <w:r>
        <w:t>这份清单优先服务三个写作目标：`定义数字化与智能化的差异`、`搭建动态能力理论模型`、`支撑第6章的文本识别/异常检测/辅助决策方案`。</w:t>
      </w:r>
    </w:p>
    <w:p>
      <w:pPr>
        <w:pStyle w:val="ListBullet"/>
      </w:pPr>
      <w:r>
        <w:t>以下“可支撑观点”是我根据原文摘要和正文内容做的归纳，不是建议你直接照抄论文原句。</w:t>
      </w:r>
    </w:p>
    <w:p>
      <w:pPr>
        <w:pStyle w:val="ListBullet"/>
      </w:pPr>
      <w:r>
        <w:t>理论主骨架建议优先使用英文高质量文献；中文文献可作为概念补充或本土语境补充，不建议让中文实务类文章承担核心理论定义任务。</w:t>
      </w:r>
    </w:p>
    <w:p/>
    <w:p>
      <w:pPr>
        <w:pStyle w:val="Heading2"/>
      </w:pPr>
      <w:r>
        <w:t>一、建议优先纳入的核心文献</w:t>
      </w:r>
    </w:p>
    <w:p/>
    <w:p>
      <w:pPr>
        <w:pStyle w:val="Heading3"/>
      </w:pPr>
      <w:r>
        <w:t>A. 动态能力主理论</w:t>
      </w:r>
    </w:p>
    <w:p/>
    <w:p>
      <w:pPr>
        <w:pStyle w:val="Heading4"/>
      </w:pPr>
      <w:r>
        <w:t>1. Teece, 2007</w:t>
      </w:r>
    </w:p>
    <w:p>
      <w:pPr>
        <w:pStyle w:val="ListBullet"/>
      </w:pPr>
      <w:r>
        <w:t>文献：Teece, D. J. (2007). *Explicating dynamic capabilities: the nature and microfoundations of (sustainable) enterprise performance*. Strategic Management Journal, 28(13), 1319-1350.</w:t>
      </w:r>
    </w:p>
    <w:p>
      <w:pPr>
        <w:pStyle w:val="ListBullet"/>
      </w:pPr>
      <w:r>
        <w:t>DOI：[10.1002/smj.640](https://doi.org/10.1002/smj.640)</w:t>
      </w:r>
    </w:p>
    <w:p>
      <w:pPr>
        <w:pStyle w:val="ListBullet"/>
      </w:pPr>
      <w:r>
        <w:t>适合放置：第2章“动态能力理论介绍”“理论适用”“研究分析框架”。</w:t>
      </w:r>
    </w:p>
    <w:p>
      <w:pPr>
        <w:pStyle w:val="ListBullet"/>
      </w:pPr>
      <w:r>
        <w:t>可支撑观点：</w:t>
      </w:r>
    </w:p>
    <w:p>
      <w:r>
        <w:t xml:space="preserve">  - 动态能力可拆解为 `sensing / seizing / reconfiguring` 三类能力。</w:t>
      </w:r>
    </w:p>
    <w:p>
      <w:r>
        <w:t xml:space="preserve">  - 动态能力并不是单一资源，而是由流程、规则、组织结构、决策机制等微观基础支撑。</w:t>
      </w:r>
    </w:p>
    <w:p>
      <w:r>
        <w:t xml:space="preserve">  - 在外部环境快速变化时，企业需要持续感知、捕捉并重构资源配置。</w:t>
      </w:r>
    </w:p>
    <w:p>
      <w:pPr>
        <w:pStyle w:val="ListBullet"/>
      </w:pPr>
      <w:r>
        <w:t>你在文中怎么用：</w:t>
      </w:r>
    </w:p>
    <w:p>
      <w:r>
        <w:t xml:space="preserve">  - 把它作为全文动态能力三维模型的源头文献。</w:t>
      </w:r>
    </w:p>
    <w:p>
      <w:r>
        <w:t xml:space="preserve">  - 用来说明：应收账款管理不是静态财务作业，而是需要动态适应政策、客户资信和项目进度变化的管理活动。</w:t>
      </w:r>
    </w:p>
    <w:p/>
    <w:p>
      <w:pPr>
        <w:pStyle w:val="Heading4"/>
      </w:pPr>
      <w:r>
        <w:t>2. Ellström et al., 2022</w:t>
      </w:r>
    </w:p>
    <w:p>
      <w:pPr>
        <w:pStyle w:val="ListBullet"/>
      </w:pPr>
      <w:r>
        <w:t>文献：Ellström, D., Holtström, J., Berg, E., &amp; Josefsson, C. (2022). *Dynamic capabilities for digital transformation*. Journal of Strategy and Management, 15(2), 272-286.</w:t>
      </w:r>
    </w:p>
    <w:p>
      <w:pPr>
        <w:pStyle w:val="ListBullet"/>
      </w:pPr>
      <w:r>
        <w:t>DOI：[10.1108/JSMA-04-2021-0089](https://doi.org/10.1108/JSMA-04-2021-0089)</w:t>
      </w:r>
    </w:p>
    <w:p>
      <w:pPr>
        <w:pStyle w:val="ListBullet"/>
      </w:pPr>
      <w:r>
        <w:t>适合放置：第2章“理论适用性分析”“研究分析框架/模型构建”。</w:t>
      </w:r>
    </w:p>
    <w:p>
      <w:pPr>
        <w:pStyle w:val="ListBullet"/>
      </w:pPr>
      <w:r>
        <w:t>可支撑观点：</w:t>
      </w:r>
    </w:p>
    <w:p>
      <w:r>
        <w:t xml:space="preserve">  - 动态能力能够解释企业数字化转型。</w:t>
      </w:r>
    </w:p>
    <w:p>
      <w:r>
        <w:t xml:space="preserve">  - 数字化转型不仅是技术上新，更涉及 sensing、seizing、reconfiguring 的具体组织惯例。</w:t>
      </w:r>
    </w:p>
    <w:p>
      <w:r>
        <w:t xml:space="preserve">  - 组织需要在感知数字机会、制定数字战略和重构基础设施之间形成联动。</w:t>
      </w:r>
    </w:p>
    <w:p>
      <w:pPr>
        <w:pStyle w:val="ListBullet"/>
      </w:pPr>
      <w:r>
        <w:t>你在文中怎么用：</w:t>
      </w:r>
    </w:p>
    <w:p>
      <w:r>
        <w:t xml:space="preserve">  - 用它把“动态能力”与“数字化/智能化升级”连接起来。</w:t>
      </w:r>
    </w:p>
    <w:p>
      <w:r>
        <w:t xml:space="preserve">  - 写成：已有研究表明，动态能力可用于解释数字化转型中的能力形成过程，因此可迁移到应收账款管理从数字化走向智能化的分析中。</w:t>
      </w:r>
    </w:p>
    <w:p/>
    <w:p>
      <w:pPr>
        <w:pStyle w:val="Heading4"/>
      </w:pPr>
      <w:r>
        <w:t>3. Mikalef et al., 2021</w:t>
      </w:r>
    </w:p>
    <w:p>
      <w:pPr>
        <w:pStyle w:val="ListBullet"/>
      </w:pPr>
      <w:r>
        <w:t>文献：Mikalef, P., van de Wetering, R., &amp; Krogstie, J. (2021). *Building dynamic capabilities by leveraging big data analytics: The role of organizational inertia*. Information &amp; Management, 58(6), 103412.</w:t>
      </w:r>
    </w:p>
    <w:p>
      <w:pPr>
        <w:pStyle w:val="ListBullet"/>
      </w:pPr>
      <w:r>
        <w:t>DOI：[10.1016/j.im.2020.103412](https://doi.org/10.1016/j.im.2020.103412)</w:t>
      </w:r>
    </w:p>
    <w:p>
      <w:pPr>
        <w:pStyle w:val="ListBullet"/>
      </w:pPr>
      <w:r>
        <w:t>适合放置：第2章“技术与动态能力关系”“文献述评”。</w:t>
      </w:r>
    </w:p>
    <w:p>
      <w:pPr>
        <w:pStyle w:val="ListBullet"/>
      </w:pPr>
      <w:r>
        <w:t>可支撑观点：</w:t>
      </w:r>
    </w:p>
    <w:p>
      <w:r>
        <w:t xml:space="preserve">  - 大数据分析能力能够支撑动态能力形成。</w:t>
      </w:r>
    </w:p>
    <w:p>
      <w:r>
        <w:t xml:space="preserve">  - 技术能力要真正转化为组织能力，会受到组织惯性影响。</w:t>
      </w:r>
    </w:p>
    <w:p>
      <w:r>
        <w:t xml:space="preserve">  - 数据能力并不自动等于动态能力，需要组织吸收与制度承接。</w:t>
      </w:r>
    </w:p>
    <w:p>
      <w:pPr>
        <w:pStyle w:val="ListBullet"/>
      </w:pPr>
      <w:r>
        <w:t>你在文中怎么用：</w:t>
      </w:r>
    </w:p>
    <w:p>
      <w:r>
        <w:t xml:space="preserve">  - 非常适合支撑你现在的关键判断：`A公司有数字化底座，但智能化能力尚未成熟`。</w:t>
      </w:r>
    </w:p>
    <w:p>
      <w:r>
        <w:t xml:space="preserve">  - 也适合写第5章：为什么有了系统和数据，还没有真正形成成熟智能化管理。</w:t>
      </w:r>
    </w:p>
    <w:p/>
    <w:p>
      <w:pPr>
        <w:pStyle w:val="Heading3"/>
      </w:pPr>
      <w:r>
        <w:t>B. 数字化、智能化与财务/管理会计</w:t>
      </w:r>
    </w:p>
    <w:p/>
    <w:p>
      <w:pPr>
        <w:pStyle w:val="Heading4"/>
      </w:pPr>
      <w:r>
        <w:t>4. Möller, Schäffer &amp; Verbeeten, 2020</w:t>
      </w:r>
    </w:p>
    <w:p>
      <w:pPr>
        <w:pStyle w:val="ListBullet"/>
      </w:pPr>
      <w:r>
        <w:t>文献：Möller, K., Schäffer, U., &amp; Verbeeten, F. (2020). *Digitalization in management accounting and control: an editorial*. Journal of Management Control, 31, 1-8.</w:t>
      </w:r>
    </w:p>
    <w:p>
      <w:pPr>
        <w:pStyle w:val="ListBullet"/>
      </w:pPr>
      <w:r>
        <w:t>DOI：[10.1007/s00187-020-00300-5](https://doi.org/10.1007/s00187-020-00300-5)</w:t>
      </w:r>
    </w:p>
    <w:p>
      <w:pPr>
        <w:pStyle w:val="ListBullet"/>
      </w:pPr>
      <w:r>
        <w:t>适合放置：第1章“财务智能化/数字化文献综述”。</w:t>
      </w:r>
    </w:p>
    <w:p>
      <w:pPr>
        <w:pStyle w:val="ListBullet"/>
      </w:pPr>
      <w:r>
        <w:t>可支撑观点：</w:t>
      </w:r>
    </w:p>
    <w:p>
      <w:r>
        <w:t xml:space="preserve">  - 数字化已经改变管理会计与财务控制实践。</w:t>
      </w:r>
    </w:p>
    <w:p>
      <w:r>
        <w:t xml:space="preserve">  - 在财务职能中，数字化首先表现为自动化、机器人化、BI 和数据分析应用。</w:t>
      </w:r>
    </w:p>
    <w:p>
      <w:r>
        <w:t xml:space="preserve">  - 数字化首先解决流程和结构化数据处理问题。</w:t>
      </w:r>
    </w:p>
    <w:p>
      <w:pPr>
        <w:pStyle w:val="ListBullet"/>
      </w:pPr>
      <w:r>
        <w:t>你在文中怎么用：</w:t>
      </w:r>
    </w:p>
    <w:p>
      <w:r>
        <w:t xml:space="preserve">  - 这篇文献适合用来界定“数字化阶段”的基本特征。</w:t>
      </w:r>
    </w:p>
    <w:p>
      <w:r>
        <w:t xml:space="preserve">  - 你可以据此写：财务数字化主要体现为结构化数据整合、流程线上化、规则嵌入和可视化呈现。</w:t>
      </w:r>
    </w:p>
    <w:p/>
    <w:p>
      <w:pPr>
        <w:pStyle w:val="Heading4"/>
      </w:pPr>
      <w:r>
        <w:t>5. 张敏，2021</w:t>
      </w:r>
    </w:p>
    <w:p>
      <w:pPr>
        <w:pStyle w:val="ListBullet"/>
      </w:pPr>
      <w:r>
        <w:t>文献：张敏. 智能财务十大热点问题论[J]. 财会月刊, 2021(02):25-30.</w:t>
      </w:r>
    </w:p>
    <w:p>
      <w:pPr>
        <w:pStyle w:val="ListBullet"/>
      </w:pPr>
      <w:r>
        <w:t>CNKI 线索：[财会月刊 2021年02期](https://ckyk.cbpt.cnki.net/WKG/WebPublication/wkTextContent.aspx?colType=4&amp;st=02&amp;yt=2021)</w:t>
      </w:r>
    </w:p>
    <w:p>
      <w:pPr>
        <w:pStyle w:val="ListBullet"/>
      </w:pPr>
      <w:r>
        <w:t>适合放置：第1章“国内文献综述”。</w:t>
      </w:r>
    </w:p>
    <w:p>
      <w:pPr>
        <w:pStyle w:val="ListBullet"/>
      </w:pPr>
      <w:r>
        <w:t>可支撑观点：</w:t>
      </w:r>
    </w:p>
    <w:p>
      <w:r>
        <w:t xml:space="preserve">  - 国内学界已经将“智能财务”作为独立于传统财务信息化的研究对象。</w:t>
      </w:r>
    </w:p>
    <w:p>
      <w:r>
        <w:t xml:space="preserve">  - 智能财务涉及企业财务职能升级、财务人员转型和企业管理模式变化。</w:t>
      </w:r>
    </w:p>
    <w:p>
      <w:pPr>
        <w:pStyle w:val="ListBullet"/>
      </w:pPr>
      <w:r>
        <w:t>你在文中怎么用：</w:t>
      </w:r>
    </w:p>
    <w:p>
      <w:r>
        <w:t xml:space="preserve">  - 作为国内研究背景补充是合适的。</w:t>
      </w:r>
    </w:p>
    <w:p>
      <w:r>
        <w:t xml:space="preserve">  - 但不建议把它作为“数字化和智能化严格定义差异”的唯一依据，更适合写国内研究现状与热点。</w:t>
      </w:r>
    </w:p>
    <w:p/>
    <w:p>
      <w:pPr>
        <w:pStyle w:val="Heading3"/>
      </w:pPr>
      <w:r>
        <w:t>C. 文本、非结构化数据与会计/财务应用</w:t>
      </w:r>
    </w:p>
    <w:p/>
    <w:p>
      <w:pPr>
        <w:pStyle w:val="Heading4"/>
      </w:pPr>
      <w:r>
        <w:t>6. Senave, Jans &amp; Srivastava, 2023</w:t>
      </w:r>
    </w:p>
    <w:p>
      <w:pPr>
        <w:pStyle w:val="ListBullet"/>
      </w:pPr>
      <w:r>
        <w:t>文献：Senave, E., Jans, M. J., &amp; Srivastava, R. P. (2023). *The application of text mining in accounting*. International Journal of Accounting Information Systems, 50, 100624.</w:t>
      </w:r>
    </w:p>
    <w:p>
      <w:pPr>
        <w:pStyle w:val="ListBullet"/>
      </w:pPr>
      <w:r>
        <w:t>DOI：[10.1016/j.accinf.2023.100624](https://doi.org/10.1016/j.accinf.2023.100624)</w:t>
      </w:r>
    </w:p>
    <w:p>
      <w:pPr>
        <w:pStyle w:val="ListBullet"/>
      </w:pPr>
      <w:r>
        <w:t>适合放置：第1章“财务智能化文献综述”、第2章“分析框架”、第6章“合同文本识别方案”。</w:t>
      </w:r>
    </w:p>
    <w:p>
      <w:pPr>
        <w:pStyle w:val="ListBullet"/>
      </w:pPr>
      <w:r>
        <w:t>可支撑观点：</w:t>
      </w:r>
    </w:p>
    <w:p>
      <w:r>
        <w:t xml:space="preserve">  - 文本挖掘可从非结构化文本中提取知识，补充传统定量数据。</w:t>
      </w:r>
    </w:p>
    <w:p>
      <w:r>
        <w:t xml:space="preserve">  - 在会计领域，文本挖掘适用于识别、补充和验证传统结构化信息。</w:t>
      </w:r>
    </w:p>
    <w:p>
      <w:r>
        <w:t xml:space="preserve">  - 会计分析不应只依赖数字字段，文本信息同样有决策价值。</w:t>
      </w:r>
    </w:p>
    <w:p>
      <w:pPr>
        <w:pStyle w:val="ListBullet"/>
      </w:pPr>
      <w:r>
        <w:t>你在文中怎么用：</w:t>
      </w:r>
    </w:p>
    <w:p>
      <w:r>
        <w:t xml:space="preserve">  - 这是你把“合同文本抽取”“付款条款识别”写得不悬浮的关键文献。</w:t>
      </w:r>
    </w:p>
    <w:p>
      <w:r>
        <w:t xml:space="preserve">  - 适合支撑你关于“应收账款管理不应只停留在结构化金额、账龄字段”的论述。</w:t>
      </w:r>
    </w:p>
    <w:p/>
    <w:p>
      <w:pPr>
        <w:pStyle w:val="Heading4"/>
      </w:pPr>
      <w:r>
        <w:t>7. Mahadevkar et al., 2024</w:t>
      </w:r>
    </w:p>
    <w:p>
      <w:pPr>
        <w:pStyle w:val="ListBullet"/>
      </w:pPr>
      <w:r>
        <w:t>文献：Mahadevkar, S. V., Patil, S., Kotecha, K., et al. (2024). *Exploring AI-driven approaches for unstructured document analysis and future horizons*. Journal of Big Data, 11, 92.</w:t>
      </w:r>
    </w:p>
    <w:p>
      <w:pPr>
        <w:pStyle w:val="ListBullet"/>
      </w:pPr>
      <w:r>
        <w:t>DOI：[10.1186/s40537-024-00948-z](https://doi.org/10.1186/s40537-024-00948-z)</w:t>
      </w:r>
    </w:p>
    <w:p>
      <w:pPr>
        <w:pStyle w:val="ListBullet"/>
      </w:pPr>
      <w:r>
        <w:t>适合放置：第1章“智能化文献综述”、第6章“合同智能审查/NLP/OCR”。</w:t>
      </w:r>
    </w:p>
    <w:p>
      <w:pPr>
        <w:pStyle w:val="ListBullet"/>
      </w:pPr>
      <w:r>
        <w:t>可支撑观点：</w:t>
      </w:r>
    </w:p>
    <w:p>
      <w:r>
        <w:t xml:space="preserve">  - OCR、NER、语义分析、LLM 等技术可以处理非结构化文档。</w:t>
      </w:r>
    </w:p>
    <w:p>
      <w:r>
        <w:t xml:space="preserve">  - 非结构化文档分析的关键价值在于把人工难以处理的文本转为结构化信息。</w:t>
      </w:r>
    </w:p>
    <w:p>
      <w:r>
        <w:t xml:space="preserve">  - 文档理解技术能够支撑信息抽取和后续流程自动化。</w:t>
      </w:r>
    </w:p>
    <w:p>
      <w:pPr>
        <w:pStyle w:val="ListBullet"/>
      </w:pPr>
      <w:r>
        <w:t>你在文中怎么用：</w:t>
      </w:r>
    </w:p>
    <w:p>
      <w:r>
        <w:t xml:space="preserve">  - 这篇是技术层面的支撑文献，不是会计专门文献，但非常适合支撑合同文本、验收资料、影像单据等非结构化文档处理。</w:t>
      </w:r>
    </w:p>
    <w:p/>
    <w:p>
      <w:pPr>
        <w:pStyle w:val="Heading4"/>
      </w:pPr>
      <w:r>
        <w:t>8. 李可童、陈力，2019</w:t>
      </w:r>
    </w:p>
    <w:p>
      <w:pPr>
        <w:pStyle w:val="ListBullet"/>
      </w:pPr>
      <w:r>
        <w:t>文献：李可童, 陈力. 数据挖掘技术在管理会计中的应用——基于破产风险预警视角[J]. 深圳信息职业技术学院学报, 2019, 17(03):74-78.</w:t>
      </w:r>
    </w:p>
    <w:p>
      <w:pPr>
        <w:pStyle w:val="ListBullet"/>
      </w:pPr>
      <w:r>
        <w:t>CNKI 线索：[文章入口](https://szxz.cbpt.cnki.net/portal/journal/portal/client/paper/a8b03ffee973336f47b327e6160adba5)</w:t>
      </w:r>
    </w:p>
    <w:p>
      <w:pPr>
        <w:pStyle w:val="ListBullet"/>
      </w:pPr>
      <w:r>
        <w:t>适合放置：第1章“国内文献综述”或第6章“智能预警的国内实践语境”。</w:t>
      </w:r>
    </w:p>
    <w:p>
      <w:pPr>
        <w:pStyle w:val="ListBullet"/>
      </w:pPr>
      <w:r>
        <w:t>可支撑观点：</w:t>
      </w:r>
    </w:p>
    <w:p>
      <w:r>
        <w:t xml:space="preserve">  - 数据挖掘可服务于风险预警和管理决策。</w:t>
      </w:r>
    </w:p>
    <w:p>
      <w:r>
        <w:t xml:space="preserve">  - 管理会计的预测与预警功能可以因数据挖掘而增强。</w:t>
      </w:r>
    </w:p>
    <w:p>
      <w:pPr>
        <w:pStyle w:val="ListBullet"/>
      </w:pPr>
      <w:r>
        <w:t>你在文中怎么用：</w:t>
      </w:r>
    </w:p>
    <w:p>
      <w:r>
        <w:t xml:space="preserve">  - 它更适合作为国内补充例证，支撑“数据挖掘能够增强预警与决策支持”。</w:t>
      </w:r>
    </w:p>
    <w:p>
      <w:r>
        <w:t xml:space="preserve">  - 不建议让它单独承担你第6章异常检测方案的理论根基。</w:t>
      </w:r>
    </w:p>
    <w:p/>
    <w:p>
      <w:pPr>
        <w:pStyle w:val="Heading3"/>
      </w:pPr>
      <w:r>
        <w:t>D. 信用风险、异常识别与可解释决策支持</w:t>
      </w:r>
    </w:p>
    <w:p/>
    <w:p>
      <w:pPr>
        <w:pStyle w:val="Heading4"/>
      </w:pPr>
      <w:r>
        <w:t>9. Shi et al., 2022</w:t>
      </w:r>
    </w:p>
    <w:p>
      <w:pPr>
        <w:pStyle w:val="ListBullet"/>
      </w:pPr>
      <w:r>
        <w:t>文献：Shi, S., Tse, R., Luo, W., D’Addona, S., &amp; Pau, G. (2022). *Machine learning-driven credit risk: a systemic review*. Neural Computing and Applications, 34, 14327-14339.</w:t>
      </w:r>
    </w:p>
    <w:p>
      <w:pPr>
        <w:pStyle w:val="ListBullet"/>
      </w:pPr>
      <w:r>
        <w:t>DOI：[10.1007/s00521-022-07472-2](https://doi.org/10.1007/s00521-022-07472-2)</w:t>
      </w:r>
    </w:p>
    <w:p>
      <w:pPr>
        <w:pStyle w:val="ListBullet"/>
      </w:pPr>
      <w:r>
        <w:t>适合放置：第1章“智能预警相关研究”、第6章“多因子联动/异常检测”。</w:t>
      </w:r>
    </w:p>
    <w:p>
      <w:pPr>
        <w:pStyle w:val="ListBullet"/>
      </w:pPr>
      <w:r>
        <w:t>可支撑观点：</w:t>
      </w:r>
    </w:p>
    <w:p>
      <w:r>
        <w:t xml:space="preserve">  - 机器学习已广泛用于信用风险识别。</w:t>
      </w:r>
    </w:p>
    <w:p>
      <w:r>
        <w:t xml:space="preserve">  - 相比传统统计方法，机器学习和深度学习在信用风险预测上具有潜力。</w:t>
      </w:r>
    </w:p>
    <w:p>
      <w:r>
        <w:t xml:space="preserve">  - 但也面临模型透明度、数据不平衡、数据集不一致等问题。</w:t>
      </w:r>
    </w:p>
    <w:p>
      <w:pPr>
        <w:pStyle w:val="ListBullet"/>
      </w:pPr>
      <w:r>
        <w:t>你在文中怎么用：</w:t>
      </w:r>
    </w:p>
    <w:p>
      <w:r>
        <w:t xml:space="preserve">  - 适合支撑你“从规则预警走向多因子联动和异常检测”的技术方向。</w:t>
      </w:r>
    </w:p>
    <w:p>
      <w:r>
        <w:t xml:space="preserve">  - 也能帮你避免把模型写得过于理想化，因为它同时指出了解释性问题。</w:t>
      </w:r>
    </w:p>
    <w:p/>
    <w:p>
      <w:pPr>
        <w:pStyle w:val="Heading4"/>
      </w:pPr>
      <w:r>
        <w:t>10. Bussmann et al., 2021</w:t>
      </w:r>
    </w:p>
    <w:p>
      <w:pPr>
        <w:pStyle w:val="ListBullet"/>
      </w:pPr>
      <w:r>
        <w:t>文献：Bussmann, N., Giudici, P., Marinelli, D., &amp; Papenbrock, J. (2021). *Explainable Machine Learning in Credit Risk Management*. Computational Economics, 57(1), 203-216.</w:t>
      </w:r>
    </w:p>
    <w:p>
      <w:pPr>
        <w:pStyle w:val="ListBullet"/>
      </w:pPr>
      <w:r>
        <w:t>DOI：[10.1007/s10614-020-10042-0](https://doi.org/10.1007/s10614-020-10042-0)</w:t>
      </w:r>
    </w:p>
    <w:p>
      <w:pPr>
        <w:pStyle w:val="ListBullet"/>
      </w:pPr>
      <w:r>
        <w:t>适合放置：第6章“异常检测/辅助决策/解释机制”。</w:t>
      </w:r>
    </w:p>
    <w:p>
      <w:pPr>
        <w:pStyle w:val="ListBullet"/>
      </w:pPr>
      <w:r>
        <w:t>可支撑观点：</w:t>
      </w:r>
    </w:p>
    <w:p>
      <w:r>
        <w:t xml:space="preserve">  - 机器学习可以用于信用风险管理。</w:t>
      </w:r>
    </w:p>
    <w:p>
      <w:r>
        <w:t xml:space="preserve">  - 可解释性对于金融管理者理解模型输出、信任模型结果非常重要。</w:t>
      </w:r>
    </w:p>
    <w:p>
      <w:r>
        <w:t xml:space="preserve">  - 风险识别不应只有“算出来”，还要“讲得清”。</w:t>
      </w:r>
    </w:p>
    <w:p>
      <w:pPr>
        <w:pStyle w:val="ListBullet"/>
      </w:pPr>
      <w:r>
        <w:t>你在文中怎么用：</w:t>
      </w:r>
    </w:p>
    <w:p>
      <w:r>
        <w:t xml:space="preserve">  - 这篇非常适合帮助你把第5章“缺乏解释机制”与第6章“智能化重构”连起来。</w:t>
      </w:r>
    </w:p>
    <w:p>
      <w:r>
        <w:t xml:space="preserve">  - 你可以据此写：智能化不只是提高预测能力，还要提升管理者对异常识别结果的理解与应用能力。</w:t>
      </w:r>
    </w:p>
    <w:p/>
    <w:p>
      <w:pPr>
        <w:pStyle w:val="Heading4"/>
      </w:pPr>
      <w:r>
        <w:t>11. Sabharwal et al., 2025</w:t>
      </w:r>
    </w:p>
    <w:p>
      <w:pPr>
        <w:pStyle w:val="ListBullet"/>
      </w:pPr>
      <w:r>
        <w:t>文献：Sabharwal, R., Miah, S. J., Wamba, S. F., et al. (2025). *Extending application of explainable artificial intelligence for managers in financial organizations*. Annals of Operations Research, 354, 309-339.</w:t>
      </w:r>
    </w:p>
    <w:p>
      <w:pPr>
        <w:pStyle w:val="ListBullet"/>
      </w:pPr>
      <w:r>
        <w:t>DOI：[10.1007/s10479-024-05825-9](https://doi.org/10.1007/s10479-024-05825-9)</w:t>
      </w:r>
    </w:p>
    <w:p>
      <w:pPr>
        <w:pStyle w:val="ListBullet"/>
      </w:pPr>
      <w:r>
        <w:t>适合放置：第1章“财务智能化文献综述”、第6章“辅助决策与人机协同”。</w:t>
      </w:r>
    </w:p>
    <w:p>
      <w:pPr>
        <w:pStyle w:val="ListBullet"/>
      </w:pPr>
      <w:r>
        <w:t>可支撑观点：</w:t>
      </w:r>
    </w:p>
    <w:p>
      <w:r>
        <w:t xml:space="preserve">  - AI 的组织价值不仅在于识别异常，还在于帮助管理者理解和解释结果。</w:t>
      </w:r>
    </w:p>
    <w:p>
      <w:r>
        <w:t xml:space="preserve">  - 如果管理者无法理解模型输出，AI 很难真正改进决策。</w:t>
      </w:r>
    </w:p>
    <w:p>
      <w:r>
        <w:t xml:space="preserve">  - 可解释性会影响管理层对 AI 的信任和应用深度。</w:t>
      </w:r>
    </w:p>
    <w:p>
      <w:pPr>
        <w:pStyle w:val="ListBullet"/>
      </w:pPr>
      <w:r>
        <w:t>你在文中怎么用：</w:t>
      </w:r>
    </w:p>
    <w:p>
      <w:r>
        <w:t xml:space="preserve">  - 适合用来支撑你第5章“目前仍以人工研判为主，智能化解释机制不足”的批判。</w:t>
      </w:r>
    </w:p>
    <w:p>
      <w:r>
        <w:t xml:space="preserve">  - 也适合支撑第6章提出“推荐机制、解释机制、人机协同”的合理性。</w:t>
      </w:r>
    </w:p>
    <w:p/>
    <w:p>
      <w:pPr>
        <w:pStyle w:val="Heading2"/>
      </w:pPr>
      <w:r>
        <w:t>二、建议形成的文献结构</w:t>
      </w:r>
    </w:p>
    <w:p/>
    <w:p>
      <w:pPr>
        <w:pStyle w:val="Heading3"/>
      </w:pPr>
      <w:r>
        <w:t>1. 用于界定“数字化 vs 智能化”</w:t>
      </w:r>
    </w:p>
    <w:p>
      <w:pPr>
        <w:pStyle w:val="ListBullet"/>
      </w:pPr>
      <w:r>
        <w:t>Möller et al. (2020)</w:t>
      </w:r>
    </w:p>
    <w:p>
      <w:pPr>
        <w:pStyle w:val="ListBullet"/>
      </w:pPr>
      <w:r>
        <w:t>Senave et al. (2023)</w:t>
      </w:r>
    </w:p>
    <w:p>
      <w:pPr>
        <w:pStyle w:val="ListBullet"/>
      </w:pPr>
      <w:r>
        <w:t>Mahadevkar et al. (2024)</w:t>
      </w:r>
    </w:p>
    <w:p>
      <w:pPr>
        <w:pStyle w:val="ListBullet"/>
      </w:pPr>
      <w:r>
        <w:t>张敏（2021，作国内补充）</w:t>
      </w:r>
    </w:p>
    <w:p/>
    <w:p>
      <w:r>
        <w:t>建议写法：</w:t>
      </w:r>
    </w:p>
    <w:p>
      <w:pPr>
        <w:pStyle w:val="ListBullet"/>
      </w:pPr>
      <w:r>
        <w:t>先用 Möller 等界定数字化对财务/管理会计的影响，强调流程线上化、自动化、BI 和数据分析。</w:t>
      </w:r>
    </w:p>
    <w:p>
      <w:pPr>
        <w:pStyle w:val="ListBullet"/>
      </w:pPr>
      <w:r>
        <w:t>再用 Senave 和 Mahadevkar 说明：当组织开始处理文本、影像、语义等非结构化信息，并借助模型、算法或 AI 形成识别、预测、推荐与辅助判断能力时，管理实践开始由数字化向智能化深化。</w:t>
      </w:r>
    </w:p>
    <w:p>
      <w:pPr>
        <w:pStyle w:val="ListBullet"/>
      </w:pPr>
      <w:r>
        <w:t>最后用“本文据文献归纳认为”落到你的场景化定义，避免写成绝对定义。</w:t>
      </w:r>
    </w:p>
    <w:p/>
    <w:p>
      <w:pPr>
        <w:pStyle w:val="Heading3"/>
      </w:pPr>
      <w:r>
        <w:t>2. 用于搭建“技术与数据基础 -&gt; 动态能力 -&gt; 结果”的理论模型</w:t>
      </w:r>
    </w:p>
    <w:p>
      <w:pPr>
        <w:pStyle w:val="ListBullet"/>
      </w:pPr>
      <w:r>
        <w:t>Teece (2007)</w:t>
      </w:r>
    </w:p>
    <w:p>
      <w:pPr>
        <w:pStyle w:val="ListBullet"/>
      </w:pPr>
      <w:r>
        <w:t>Ellström et al. (2022)</w:t>
      </w:r>
    </w:p>
    <w:p>
      <w:pPr>
        <w:pStyle w:val="ListBullet"/>
      </w:pPr>
      <w:r>
        <w:t>Mikalef et al. (2021)</w:t>
      </w:r>
    </w:p>
    <w:p/>
    <w:p>
      <w:r>
        <w:t>建议写法：</w:t>
      </w:r>
    </w:p>
    <w:p>
      <w:pPr>
        <w:pStyle w:val="ListBullet"/>
      </w:pPr>
      <w:r>
        <w:t>用 Teece 提供三维框架。</w:t>
      </w:r>
    </w:p>
    <w:p>
      <w:pPr>
        <w:pStyle w:val="ListBullet"/>
      </w:pPr>
      <w:r>
        <w:t>用 Ellström 说明数字化转型可以放在动态能力框架下理解。</w:t>
      </w:r>
    </w:p>
    <w:p>
      <w:pPr>
        <w:pStyle w:val="ListBullet"/>
      </w:pPr>
      <w:r>
        <w:t>用 Mikalef 说明数据分析能力需要经过组织吸收和制度承接，才能转化为动态能力。</w:t>
      </w:r>
    </w:p>
    <w:p/>
    <w:p>
      <w:pPr>
        <w:pStyle w:val="Heading3"/>
      </w:pPr>
      <w:r>
        <w:t>3. 用于支撑第6章方案</w:t>
      </w:r>
    </w:p>
    <w:p>
      <w:pPr>
        <w:pStyle w:val="ListBullet"/>
      </w:pPr>
      <w:r>
        <w:t>Senave et al. (2023)：支撑合同文本抽取、文本挖掘</w:t>
      </w:r>
    </w:p>
    <w:p>
      <w:pPr>
        <w:pStyle w:val="ListBullet"/>
      </w:pPr>
      <w:r>
        <w:t>Mahadevkar et al. (2024)：支撑 OCR/NLP/非结构化文档处理</w:t>
      </w:r>
    </w:p>
    <w:p>
      <w:pPr>
        <w:pStyle w:val="ListBullet"/>
      </w:pPr>
      <w:r>
        <w:t>Shi et al. (2022)：支撑多因子联动、异常检测、风险预测</w:t>
      </w:r>
    </w:p>
    <w:p>
      <w:pPr>
        <w:pStyle w:val="ListBullet"/>
      </w:pPr>
      <w:r>
        <w:t>Bussmann et al. (2021) + Sabharwal et al. (2025)：支撑可解释性、辅助决策、人机协同</w:t>
      </w:r>
    </w:p>
    <w:p/>
    <w:p>
      <w:pPr>
        <w:pStyle w:val="Heading2"/>
      </w:pPr>
      <w:r>
        <w:t>三、最建议你在论文里写出来的三组句子</w:t>
      </w:r>
    </w:p>
    <w:p/>
    <w:p>
      <w:pPr>
        <w:pStyle w:val="Heading3"/>
      </w:pPr>
      <w:r>
        <w:t>1. 关于数字化与智能化差异</w:t>
      </w:r>
    </w:p>
    <w:p>
      <w:pPr>
        <w:pStyle w:val="ListBullet"/>
      </w:pPr>
      <w:r>
        <w:t>可写成：</w:t>
      </w:r>
    </w:p>
    <w:p>
      <w:r>
        <w:t xml:space="preserve">  - 既有研究表明，数字化首先改变了财务与管理会计的流程处理、数据集成与可视化分析方式，其主要特征是结构化数据整合、流程线上化、规则嵌入和自动化处理。</w:t>
      </w:r>
    </w:p>
    <w:p>
      <w:r>
        <w:t xml:space="preserve">  - 在此基础上，随着文本挖掘、OCR、语义识别和 AI 技术的发展，财务管理开始能够处理合同文本、影像资料和外部信用信息等非结构化数据，并据此形成识别、预测、推荐和辅助决策能力。</w:t>
      </w:r>
    </w:p>
    <w:p>
      <w:r>
        <w:t xml:space="preserve">  - 因此，本文据文献归纳认为，在应收账款管理场景中，数字化更多体现为规则导向的结构化处理，而智能化则体现为文本、行为和多源信号驱动的识别与判断增强。</w:t>
      </w:r>
    </w:p>
    <w:p/>
    <w:p>
      <w:pPr>
        <w:pStyle w:val="Heading3"/>
      </w:pPr>
      <w:r>
        <w:t>2. 关于为什么要用动态能力</w:t>
      </w:r>
    </w:p>
    <w:p>
      <w:pPr>
        <w:pStyle w:val="ListBullet"/>
      </w:pPr>
      <w:r>
        <w:t>可写成：</w:t>
      </w:r>
    </w:p>
    <w:p>
      <w:r>
        <w:t xml:space="preserve">  - 应收账款管理并非静态控制活动，而是随客户资信、项目进度、合同条款和政策环境持续变化的动态过程。</w:t>
      </w:r>
    </w:p>
    <w:p>
      <w:r>
        <w:t xml:space="preserve">  - 动态能力理论强调企业通过感知、捕捉和重构应对外部环境变化，能够较好解释企业如何借助数字技术推动应收账款管理能力升级。</w:t>
      </w:r>
    </w:p>
    <w:p/>
    <w:p>
      <w:pPr>
        <w:pStyle w:val="Heading3"/>
      </w:pPr>
      <w:r>
        <w:t>3. 关于为什么第6章方案合理</w:t>
      </w:r>
    </w:p>
    <w:p>
      <w:pPr>
        <w:pStyle w:val="ListBullet"/>
      </w:pPr>
      <w:r>
        <w:t>可写成：</w:t>
      </w:r>
    </w:p>
    <w:p>
      <w:r>
        <w:t xml:space="preserve">  - 文本挖掘与非结构化文档处理研究表明，合同、验收资料和影像单据中蕴含的文本信息可以转化为结构化管理信息，为风险识别前置化提供支持。</w:t>
      </w:r>
    </w:p>
    <w:p>
      <w:r>
        <w:t xml:space="preserve">  - 信用风险与可解释 AI 研究表明，模型价值不仅在于提高识别精度，还在于提升管理者对异常结果的理解和应用能力。</w:t>
      </w:r>
    </w:p>
    <w:p/>
    <w:p>
      <w:pPr>
        <w:pStyle w:val="Heading2"/>
      </w:pPr>
      <w:r>
        <w:t>四、当前最值得优先补进参考文献的 8 篇</w:t>
      </w:r>
    </w:p>
    <w:p/>
    <w:p>
      <w:r>
        <w:t>按优先级排序建议先补这 8 篇：</w:t>
      </w:r>
    </w:p>
    <w:p/>
    <w:p>
      <w:pPr>
        <w:pStyle w:val="ListNumber"/>
      </w:pPr>
      <w:r>
        <w:t>Teece (2007)</w:t>
      </w:r>
    </w:p>
    <w:p>
      <w:pPr>
        <w:pStyle w:val="ListNumber"/>
      </w:pPr>
      <w:r>
        <w:t>Möller et al. (2020)</w:t>
      </w:r>
    </w:p>
    <w:p>
      <w:pPr>
        <w:pStyle w:val="ListNumber"/>
      </w:pPr>
      <w:r>
        <w:t>Mikalef et al. (2021)</w:t>
      </w:r>
    </w:p>
    <w:p>
      <w:pPr>
        <w:pStyle w:val="ListNumber"/>
      </w:pPr>
      <w:r>
        <w:t>Ellström et al. (2022)</w:t>
      </w:r>
    </w:p>
    <w:p>
      <w:pPr>
        <w:pStyle w:val="ListNumber"/>
      </w:pPr>
      <w:r>
        <w:t>Senave et al. (2023)</w:t>
      </w:r>
    </w:p>
    <w:p>
      <w:pPr>
        <w:pStyle w:val="ListNumber"/>
      </w:pPr>
      <w:r>
        <w:t>Mahadevkar et al. (2024)</w:t>
      </w:r>
    </w:p>
    <w:p>
      <w:pPr>
        <w:pStyle w:val="ListNumber"/>
      </w:pPr>
      <w:r>
        <w:t>Bussmann et al. (2021)</w:t>
      </w:r>
    </w:p>
    <w:p>
      <w:pPr>
        <w:pStyle w:val="ListNumber"/>
      </w:pPr>
      <w:r>
        <w:t>Sabharwal et al. (2025)</w:t>
      </w:r>
    </w:p>
    <w:p/>
    <w:p>
      <w:pPr>
        <w:pStyle w:val="Heading2"/>
      </w:pPr>
      <w:r>
        <w:t>五、使用提醒</w:t>
      </w:r>
    </w:p>
    <w:p/>
    <w:p>
      <w:pPr>
        <w:pStyle w:val="ListBullet"/>
      </w:pPr>
      <w:r>
        <w:t>`Teece + Ellström + Mikalef` 是你的理论主骨架。</w:t>
      </w:r>
    </w:p>
    <w:p>
      <w:pPr>
        <w:pStyle w:val="ListBullet"/>
      </w:pPr>
      <w:r>
        <w:t>`Möller + Senave + Mahadevkar` 是“数字化 vs 智能化”最稳的概念支撑组。</w:t>
      </w:r>
    </w:p>
    <w:p>
      <w:pPr>
        <w:pStyle w:val="ListBullet"/>
      </w:pPr>
      <w:r>
        <w:t>`Shi + Bussmann + Sabharwal` 是第6章最稳的“预警/异常检测/辅助决策”支撑组。</w:t>
      </w:r>
    </w:p>
    <w:p>
      <w:pPr>
        <w:pStyle w:val="ListBullet"/>
      </w:pPr>
      <w:r>
        <w:t>中文文献可以补，但现阶段不要让中文实务性文章承担核心定义任务。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