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" w:hAnsi="华文细黑" w:eastAsia="微软雅黑"/>
          <w:sz w:val="48"/>
          <w:szCs w:val="48"/>
        </w:rPr>
      </w:pPr>
      <w:r>
        <w:rPr>
          <w:rFonts w:hint="default" w:ascii="微软雅黑" w:hAnsi="华文细黑" w:eastAsia="微软雅黑"/>
          <w:sz w:val="48"/>
          <w:szCs w:val="48"/>
        </w:rPr>
        <w:t>IM</w:t>
      </w:r>
      <w:r>
        <w:rPr>
          <w:rFonts w:hint="eastAsia" w:ascii="微软雅黑" w:hAnsi="华文细黑" w:eastAsia="微软雅黑"/>
          <w:sz w:val="48"/>
          <w:szCs w:val="48"/>
        </w:rPr>
        <w:t>故障</w:t>
      </w:r>
      <w:r>
        <w:rPr>
          <w:rFonts w:ascii="微软雅黑" w:hAnsi="华文细黑" w:eastAsia="微软雅黑"/>
          <w:sz w:val="48"/>
          <w:szCs w:val="48"/>
        </w:rPr>
        <w:t>报告</w:t>
      </w:r>
    </w:p>
    <w:p>
      <w:pPr>
        <w:jc w:val="right"/>
        <w:rPr>
          <w:rFonts w:ascii="微软雅黑" w:hAnsi="微软雅黑" w:eastAsia="微软雅黑"/>
        </w:rPr>
      </w:pPr>
    </w:p>
    <w:tbl>
      <w:tblPr>
        <w:tblStyle w:val="1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2243"/>
        <w:gridCol w:w="5938"/>
      </w:tblGrid>
      <w:tr>
        <w:tc>
          <w:tcPr>
            <w:tcW w:w="1555" w:type="dxa"/>
          </w:tcPr>
          <w:p>
            <w:pPr>
              <w:widowControl w:val="0"/>
              <w:jc w:val="center"/>
              <w:rPr>
                <w:rFonts w:ascii="微软雅黑" w:hAnsi="华文细黑" w:eastAsia="微软雅黑"/>
                <w:b/>
                <w:sz w:val="20"/>
              </w:rPr>
            </w:pPr>
            <w:r>
              <w:rPr>
                <w:rFonts w:hint="eastAsia" w:ascii="微软雅黑" w:hAnsi="华文细黑" w:eastAsia="微软雅黑"/>
                <w:b/>
                <w:sz w:val="20"/>
              </w:rPr>
              <w:t>项目名称</w:t>
            </w:r>
          </w:p>
        </w:tc>
        <w:tc>
          <w:tcPr>
            <w:tcW w:w="2243" w:type="dxa"/>
          </w:tcPr>
          <w:p>
            <w:pPr>
              <w:widowControl w:val="0"/>
              <w:jc w:val="left"/>
              <w:rPr>
                <w:rFonts w:ascii="微软雅黑" w:hAnsi="华文细黑" w:eastAsia="微软雅黑"/>
                <w:sz w:val="20"/>
              </w:rPr>
            </w:pPr>
            <w:r>
              <w:rPr>
                <w:rFonts w:hint="eastAsia" w:ascii="微软雅黑" w:hAnsi="华文细黑" w:eastAsia="微软雅黑"/>
                <w:b/>
                <w:sz w:val="20"/>
              </w:rPr>
              <w:t xml:space="preserve"> </w:t>
            </w:r>
            <w:r>
              <w:rPr>
                <w:rFonts w:ascii="微软雅黑" w:hAnsi="华文细黑" w:eastAsia="微软雅黑"/>
                <w:b/>
                <w:sz w:val="20"/>
              </w:rPr>
              <w:t xml:space="preserve">         </w:t>
            </w:r>
            <w:r>
              <w:rPr>
                <w:rFonts w:ascii="微软雅黑" w:hAnsi="华文细黑" w:eastAsia="微软雅黑"/>
                <w:b/>
                <w:sz w:val="20"/>
              </w:rPr>
              <w:t>IM</w:t>
            </w:r>
          </w:p>
        </w:tc>
        <w:tc>
          <w:tcPr>
            <w:tcW w:w="5938" w:type="dxa"/>
          </w:tcPr>
          <w:p>
            <w:pPr>
              <w:widowControl w:val="0"/>
              <w:jc w:val="left"/>
              <w:rPr>
                <w:rFonts w:hint="eastAsia" w:ascii="微软雅黑" w:hAnsi="华文细黑" w:eastAsia="微软雅黑"/>
                <w:b/>
                <w:sz w:val="20"/>
              </w:rPr>
            </w:pPr>
            <w:r>
              <w:rPr>
                <w:rFonts w:hint="eastAsia" w:ascii="微软雅黑" w:hAnsi="华文细黑" w:eastAsia="微软雅黑"/>
                <w:b/>
                <w:sz w:val="20"/>
              </w:rPr>
              <w:t>汇报人：</w:t>
            </w:r>
            <w:r>
              <w:rPr>
                <w:rFonts w:hint="default" w:ascii="微软雅黑" w:hAnsi="华文细黑" w:eastAsia="微软雅黑"/>
                <w:b/>
                <w:sz w:val="20"/>
              </w:rPr>
              <w:t>veal</w:t>
            </w:r>
          </w:p>
        </w:tc>
      </w:tr>
      <w:tr>
        <w:tc>
          <w:tcPr>
            <w:tcW w:w="1555" w:type="dxa"/>
          </w:tcPr>
          <w:p>
            <w:pPr>
              <w:widowControl w:val="0"/>
              <w:jc w:val="center"/>
              <w:rPr>
                <w:rFonts w:ascii="微软雅黑" w:hAnsi="华文细黑" w:eastAsia="微软雅黑"/>
                <w:b/>
                <w:sz w:val="20"/>
              </w:rPr>
            </w:pPr>
            <w:r>
              <w:rPr>
                <w:rFonts w:hint="eastAsia" w:ascii="微软雅黑" w:hAnsi="华文细黑" w:eastAsia="微软雅黑"/>
                <w:b/>
                <w:sz w:val="20"/>
              </w:rPr>
              <w:t>故障现象</w:t>
            </w:r>
          </w:p>
        </w:tc>
        <w:tc>
          <w:tcPr>
            <w:tcW w:w="8181" w:type="dxa"/>
            <w:gridSpan w:val="2"/>
          </w:tcPr>
          <w:p>
            <w:pPr>
              <w:widowControl w:val="0"/>
              <w:jc w:val="left"/>
              <w:rPr>
                <w:rFonts w:ascii="微软雅黑" w:hAnsi="华文细黑" w:eastAsia="微软雅黑"/>
                <w:sz w:val="20"/>
              </w:rPr>
            </w:pPr>
            <w:r>
              <w:rPr>
                <w:rFonts w:ascii="微软雅黑" w:hAnsi="华文细黑" w:eastAsia="微软雅黑"/>
                <w:sz w:val="20"/>
              </w:rPr>
              <w:t>APP</w:t>
            </w:r>
            <w:r>
              <w:rPr>
                <w:rFonts w:hint="eastAsia" w:ascii="微软雅黑" w:hAnsi="华文细黑" w:eastAsia="微软雅黑"/>
                <w:sz w:val="20"/>
                <w:lang w:val="en-US" w:eastAsia="zh-Hans"/>
              </w:rPr>
              <w:t>拉取离线消息时一直卡顿</w:t>
            </w:r>
          </w:p>
        </w:tc>
      </w:tr>
      <w:tr>
        <w:trPr>
          <w:trHeight w:val="1737" w:hRule="atLeast"/>
        </w:trPr>
        <w:tc>
          <w:tcPr>
            <w:tcW w:w="1555" w:type="dxa"/>
          </w:tcPr>
          <w:p>
            <w:pPr>
              <w:widowControl w:val="0"/>
              <w:jc w:val="center"/>
              <w:rPr>
                <w:rFonts w:ascii="微软雅黑" w:hAnsi="华文细黑" w:eastAsia="微软雅黑"/>
                <w:b/>
                <w:sz w:val="20"/>
              </w:rPr>
            </w:pPr>
            <w:r>
              <w:rPr>
                <w:rFonts w:hint="eastAsia" w:ascii="微软雅黑" w:hAnsi="华文细黑" w:eastAsia="微软雅黑"/>
                <w:b/>
                <w:sz w:val="20"/>
              </w:rPr>
              <w:t>故障回溯</w:t>
            </w:r>
          </w:p>
        </w:tc>
        <w:tc>
          <w:tcPr>
            <w:tcW w:w="8181" w:type="dxa"/>
            <w:gridSpan w:val="2"/>
          </w:tcPr>
          <w:p>
            <w:pPr>
              <w:widowControl w:val="0"/>
              <w:jc w:val="left"/>
              <w:rPr>
                <w:rFonts w:hint="eastAsia" w:ascii="微软雅黑" w:hAnsi="华文细黑" w:eastAsia="微软雅黑"/>
                <w:sz w:val="20"/>
                <w:lang w:val="en-US" w:eastAsia="zh-Hans"/>
              </w:rPr>
            </w:pPr>
            <w:r>
              <w:rPr>
                <w:rFonts w:hint="eastAsia" w:ascii="微软雅黑" w:hAnsi="华文细黑" w:eastAsia="微软雅黑"/>
                <w:sz w:val="20"/>
                <w:lang w:val="en-US" w:eastAsia="zh-Hans"/>
              </w:rPr>
              <w:t>离线转在线时</w:t>
            </w:r>
            <w:r>
              <w:rPr>
                <w:rFonts w:hint="default" w:ascii="微软雅黑" w:hAnsi="华文细黑" w:eastAsia="微软雅黑"/>
                <w:sz w:val="20"/>
                <w:lang w:eastAsia="zh-Hans"/>
              </w:rPr>
              <w:t>APP</w:t>
            </w:r>
            <w:r>
              <w:rPr>
                <w:rFonts w:hint="eastAsia" w:ascii="微软雅黑" w:hAnsi="华文细黑" w:eastAsia="微软雅黑"/>
                <w:sz w:val="20"/>
                <w:lang w:val="en-US" w:eastAsia="zh-Hans"/>
              </w:rPr>
              <w:t>客户端调用拉取消息接口时阻塞，导致</w:t>
            </w:r>
            <w:r>
              <w:rPr>
                <w:rFonts w:hint="default" w:ascii="微软雅黑" w:hAnsi="华文细黑" w:eastAsia="微软雅黑"/>
                <w:sz w:val="20"/>
                <w:lang w:eastAsia="zh-Hans"/>
              </w:rPr>
              <w:t>APP</w:t>
            </w:r>
            <w:r>
              <w:rPr>
                <w:rFonts w:hint="eastAsia" w:ascii="微软雅黑" w:hAnsi="华文细黑" w:eastAsia="微软雅黑"/>
                <w:sz w:val="20"/>
                <w:lang w:val="en-US" w:eastAsia="zh-Hans"/>
              </w:rPr>
              <w:t>首页一直显示同步中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421" w:hRule="atLeast"/>
        </w:trPr>
        <w:tc>
          <w:tcPr>
            <w:tcW w:w="1555" w:type="dxa"/>
          </w:tcPr>
          <w:p>
            <w:pPr>
              <w:widowControl w:val="0"/>
              <w:jc w:val="center"/>
              <w:rPr>
                <w:rFonts w:ascii="微软雅黑" w:hAnsi="华文细黑" w:eastAsia="微软雅黑"/>
                <w:b/>
                <w:sz w:val="20"/>
              </w:rPr>
            </w:pPr>
            <w:r>
              <w:rPr>
                <w:rFonts w:hint="eastAsia" w:ascii="微软雅黑" w:hAnsi="华文细黑" w:eastAsia="微软雅黑"/>
                <w:b/>
                <w:sz w:val="20"/>
              </w:rPr>
              <w:t>技术原因分析</w:t>
            </w:r>
          </w:p>
        </w:tc>
        <w:tc>
          <w:tcPr>
            <w:tcW w:w="8181" w:type="dxa"/>
            <w:gridSpan w:val="2"/>
          </w:tcPr>
          <w:p>
            <w:pPr>
              <w:widowControl w:val="0"/>
              <w:jc w:val="left"/>
              <w:rPr>
                <w:rFonts w:ascii="微软雅黑" w:hAnsi="华文细黑" w:eastAsia="微软雅黑"/>
                <w:sz w:val="20"/>
              </w:rPr>
            </w:pPr>
            <w:r>
              <w:rPr>
                <w:rFonts w:ascii="微软雅黑" w:hAnsi="华文细黑" w:eastAsia="微软雅黑"/>
                <w:sz w:val="20"/>
              </w:rPr>
              <w:t>IOS</w:t>
            </w:r>
            <w:r>
              <w:rPr>
                <w:rFonts w:hint="eastAsia" w:ascii="微软雅黑" w:hAnsi="华文细黑" w:eastAsia="微软雅黑"/>
                <w:sz w:val="20"/>
                <w:lang w:val="en-US" w:eastAsia="zh-Hans"/>
              </w:rPr>
              <w:t>端调用首页整合初始化接口里的单聊参数Limit设置为</w:t>
            </w:r>
            <w:r>
              <w:rPr>
                <w:rFonts w:hint="default" w:ascii="微软雅黑" w:hAnsi="华文细黑" w:eastAsia="微软雅黑"/>
                <w:sz w:val="20"/>
                <w:lang w:eastAsia="zh-Hans"/>
              </w:rPr>
              <w:t>0</w:t>
            </w:r>
            <w:r>
              <w:rPr>
                <w:rFonts w:hint="eastAsia" w:ascii="微软雅黑" w:hAnsi="华文细黑" w:eastAsia="微软雅黑"/>
                <w:sz w:val="20"/>
                <w:lang w:eastAsia="zh-Hans"/>
              </w:rPr>
              <w:t>，</w:t>
            </w:r>
            <w:r>
              <w:rPr>
                <w:rFonts w:hint="eastAsia" w:ascii="微软雅黑" w:hAnsi="华文细黑" w:eastAsia="微软雅黑"/>
                <w:sz w:val="20"/>
                <w:lang w:val="en-US" w:eastAsia="zh-Hans"/>
              </w:rPr>
              <w:t>后台</w:t>
            </w:r>
            <w:r>
              <w:rPr>
                <w:rFonts w:hint="default" w:ascii="微软雅黑" w:hAnsi="华文细黑" w:eastAsia="微软雅黑"/>
                <w:sz w:val="20"/>
                <w:lang w:eastAsia="zh-Hans"/>
              </w:rPr>
              <w:t>mongodb</w:t>
            </w:r>
            <w:r>
              <w:rPr>
                <w:rFonts w:hint="eastAsia" w:ascii="微软雅黑" w:hAnsi="华文细黑" w:eastAsia="微软雅黑"/>
                <w:sz w:val="20"/>
                <w:lang w:val="en-US" w:eastAsia="zh-Hans"/>
              </w:rPr>
              <w:t>查询会默认忽略Limit为</w:t>
            </w:r>
            <w:r>
              <w:rPr>
                <w:rFonts w:hint="default" w:ascii="微软雅黑" w:hAnsi="华文细黑" w:eastAsia="微软雅黑"/>
                <w:sz w:val="20"/>
                <w:lang w:eastAsia="zh-Hans"/>
              </w:rPr>
              <w:t>0</w:t>
            </w:r>
            <w:r>
              <w:rPr>
                <w:rFonts w:hint="eastAsia" w:ascii="微软雅黑" w:hAnsi="华文细黑" w:eastAsia="微软雅黑"/>
                <w:sz w:val="20"/>
                <w:lang w:val="en-US" w:eastAsia="zh-Hans"/>
              </w:rPr>
              <w:t>的数量限制，导致全量查询，随着单聊表数量堆积越多，当多并发进行单聊消息拉取时造成服务器内存溢出</w:t>
            </w:r>
          </w:p>
        </w:tc>
      </w:tr>
      <w:tr>
        <w:tc>
          <w:tcPr>
            <w:tcW w:w="1555" w:type="dxa"/>
          </w:tcPr>
          <w:p>
            <w:pPr>
              <w:widowControl w:val="0"/>
              <w:jc w:val="center"/>
              <w:rPr>
                <w:rFonts w:ascii="微软雅黑" w:hAnsi="华文细黑" w:eastAsia="微软雅黑"/>
                <w:b/>
                <w:sz w:val="20"/>
              </w:rPr>
            </w:pPr>
            <w:r>
              <w:rPr>
                <w:rFonts w:hint="eastAsia" w:ascii="微软雅黑" w:hAnsi="华文细黑" w:eastAsia="微软雅黑"/>
                <w:b/>
                <w:sz w:val="20"/>
              </w:rPr>
              <w:t>结论</w:t>
            </w:r>
          </w:p>
        </w:tc>
        <w:tc>
          <w:tcPr>
            <w:tcW w:w="8181" w:type="dxa"/>
            <w:gridSpan w:val="2"/>
          </w:tcPr>
          <w:p>
            <w:pPr>
              <w:widowControl w:val="0"/>
              <w:jc w:val="left"/>
              <w:rPr>
                <w:rFonts w:hint="eastAsia" w:ascii="微软雅黑" w:hAnsi="华文细黑" w:eastAsia="微软雅黑"/>
                <w:sz w:val="20"/>
                <w:lang w:val="en-US" w:eastAsia="zh-Hans"/>
              </w:rPr>
            </w:pPr>
            <w:r>
              <w:rPr>
                <w:rFonts w:hint="eastAsia" w:ascii="微软雅黑" w:hAnsi="华文细黑" w:eastAsia="微软雅黑"/>
                <w:sz w:val="20"/>
                <w:lang w:val="en-US" w:eastAsia="zh-Hans"/>
              </w:rPr>
              <w:t>服务器内存溢出</w:t>
            </w:r>
          </w:p>
        </w:tc>
      </w:tr>
      <w:tr>
        <w:tc>
          <w:tcPr>
            <w:tcW w:w="1555" w:type="dxa"/>
          </w:tcPr>
          <w:p>
            <w:pPr>
              <w:widowControl w:val="0"/>
              <w:jc w:val="center"/>
              <w:rPr>
                <w:rFonts w:ascii="微软雅黑" w:hAnsi="华文细黑" w:eastAsia="微软雅黑"/>
                <w:b/>
                <w:sz w:val="20"/>
              </w:rPr>
            </w:pPr>
            <w:r>
              <w:rPr>
                <w:rFonts w:hint="eastAsia" w:ascii="微软雅黑" w:hAnsi="华文细黑" w:eastAsia="微软雅黑"/>
                <w:b/>
                <w:sz w:val="20"/>
              </w:rPr>
              <w:t>故障影响</w:t>
            </w:r>
          </w:p>
        </w:tc>
        <w:tc>
          <w:tcPr>
            <w:tcW w:w="8181" w:type="dxa"/>
            <w:gridSpan w:val="2"/>
          </w:tcPr>
          <w:p>
            <w:pPr>
              <w:widowControl w:val="0"/>
              <w:jc w:val="left"/>
              <w:rPr>
                <w:rFonts w:hint="eastAsia" w:ascii="微软雅黑" w:hAnsi="华文细黑" w:eastAsia="微软雅黑"/>
                <w:sz w:val="20"/>
                <w:lang w:val="en-US" w:eastAsia="zh-Hans"/>
              </w:rPr>
            </w:pPr>
            <w:r>
              <w:rPr>
                <w:rFonts w:hint="eastAsia" w:ascii="微软雅黑" w:hAnsi="华文细黑" w:eastAsia="微软雅黑"/>
                <w:sz w:val="20"/>
                <w:lang w:val="en-US" w:eastAsia="zh-Hans"/>
              </w:rPr>
              <w:t>影响离线消息拉取</w:t>
            </w:r>
          </w:p>
        </w:tc>
      </w:tr>
      <w:tr>
        <w:tc>
          <w:tcPr>
            <w:tcW w:w="1555" w:type="dxa"/>
          </w:tcPr>
          <w:p>
            <w:pPr>
              <w:widowControl w:val="0"/>
              <w:jc w:val="center"/>
              <w:rPr>
                <w:rFonts w:ascii="微软雅黑" w:hAnsi="华文细黑" w:eastAsia="微软雅黑"/>
                <w:b/>
                <w:sz w:val="20"/>
              </w:rPr>
            </w:pPr>
            <w:r>
              <w:rPr>
                <w:rFonts w:hint="eastAsia" w:ascii="微软雅黑" w:hAnsi="华文细黑" w:eastAsia="微软雅黑"/>
                <w:b/>
                <w:sz w:val="20"/>
              </w:rPr>
              <w:t>故障更新</w:t>
            </w:r>
          </w:p>
        </w:tc>
        <w:tc>
          <w:tcPr>
            <w:tcW w:w="8181" w:type="dxa"/>
            <w:gridSpan w:val="2"/>
          </w:tcPr>
          <w:p>
            <w:pPr>
              <w:widowControl w:val="0"/>
              <w:jc w:val="left"/>
              <w:rPr>
                <w:rFonts w:hint="eastAsia" w:ascii="微软雅黑" w:hAnsi="华文细黑" w:eastAsia="微软雅黑"/>
                <w:sz w:val="20"/>
                <w:lang w:val="en-US" w:eastAsia="zh-Hans"/>
              </w:rPr>
            </w:pPr>
            <w:r>
              <w:rPr>
                <w:rFonts w:hint="eastAsia" w:ascii="微软雅黑" w:hAnsi="华文细黑" w:eastAsia="微软雅黑"/>
                <w:sz w:val="20"/>
                <w:lang w:val="en-US" w:eastAsia="zh-Hans"/>
              </w:rPr>
              <w:t>服务接口已针对相应场景进行修复处理，目前云环境恢复正常</w:t>
            </w:r>
          </w:p>
        </w:tc>
      </w:tr>
      <w:tr>
        <w:tc>
          <w:tcPr>
            <w:tcW w:w="1555" w:type="dxa"/>
          </w:tcPr>
          <w:p>
            <w:pPr>
              <w:widowControl w:val="0"/>
              <w:jc w:val="center"/>
              <w:rPr>
                <w:rFonts w:ascii="微软雅黑" w:hAnsi="华文细黑" w:eastAsia="微软雅黑"/>
                <w:b/>
                <w:sz w:val="20"/>
              </w:rPr>
            </w:pPr>
            <w:r>
              <w:rPr>
                <w:rFonts w:hint="eastAsia" w:ascii="微软雅黑" w:hAnsi="华文细黑" w:eastAsia="微软雅黑"/>
                <w:b/>
                <w:sz w:val="20"/>
              </w:rPr>
              <w:t>改进措施</w:t>
            </w:r>
          </w:p>
        </w:tc>
        <w:tc>
          <w:tcPr>
            <w:tcW w:w="8181" w:type="dxa"/>
            <w:gridSpan w:val="2"/>
          </w:tcPr>
          <w:p>
            <w:pPr>
              <w:widowControl w:val="0"/>
              <w:jc w:val="left"/>
              <w:rPr>
                <w:rFonts w:hint="eastAsia" w:ascii="微软雅黑" w:hAnsi="华文细黑" w:eastAsia="微软雅黑"/>
                <w:sz w:val="20"/>
                <w:lang w:val="en-US" w:eastAsia="zh-Hans"/>
              </w:rPr>
            </w:pPr>
            <w:r>
              <w:rPr>
                <w:rFonts w:hint="eastAsia" w:ascii="微软雅黑" w:hAnsi="华文细黑" w:eastAsia="微软雅黑"/>
                <w:sz w:val="20"/>
                <w:lang w:val="en-US" w:eastAsia="zh-Hans"/>
              </w:rPr>
              <w:t>后续会整理所有带数量限制的服务接口，进行统一检查完善</w:t>
            </w:r>
            <w:bookmarkStart w:id="0" w:name="_GoBack"/>
            <w:bookmarkEnd w:id="0"/>
          </w:p>
        </w:tc>
      </w:tr>
    </w:tbl>
    <w:p>
      <w:pPr>
        <w:jc w:val="left"/>
        <w:rPr>
          <w:rFonts w:ascii="微软雅黑" w:hAnsi="华文细黑" w:eastAsia="微软雅黑"/>
        </w:rPr>
      </w:pPr>
    </w:p>
    <w:sectPr>
      <w:headerReference r:id="rId3" w:type="default"/>
      <w:footerReference r:id="rId4" w:type="default"/>
      <w:pgSz w:w="11906" w:h="16838"/>
      <w:pgMar w:top="1440" w:right="1080" w:bottom="1440" w:left="108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华文细黑">
    <w:altName w:val="黑体-简"/>
    <w:panose1 w:val="02010600040101010101"/>
    <w:charset w:val="86"/>
    <w:family w:val="auto"/>
    <w:pitch w:val="default"/>
    <w:sig w:usb0="00000000" w:usb1="00000000" w:usb2="00000010" w:usb3="00000000" w:csb0="0004009F" w:csb1="00000000"/>
  </w:font>
  <w:font w:name="微软雅黑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288" w:lineRule="auto"/>
      <w:ind w:left="5040" w:hanging="5040" w:hangingChars="2800"/>
      <w:jc w:val="center"/>
      <w:rPr>
        <w:rFonts w:ascii="微软雅黑" w:hAnsi="微软雅黑" w:eastAsia="微软雅黑" w:cs="Arial"/>
        <w:sz w:val="18"/>
        <w:szCs w:val="18"/>
      </w:rPr>
    </w:pPr>
    <w:r>
      <w:rPr>
        <w:rFonts w:ascii="微软雅黑" w:hAnsi="微软雅黑" w:eastAsia="微软雅黑" w:cs="Arial"/>
        <w:sz w:val="18"/>
        <w:szCs w:val="18"/>
      </w:rPr>
      <w:t xml:space="preserve">                                                                                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pBdr>
        <w:bottom w:val="single" w:color="auto" w:sz="6" w:space="5"/>
      </w:pBdr>
      <w:spacing w:line="360" w:lineRule="auto"/>
      <w:jc w:val="both"/>
      <w:rPr>
        <w:rFonts w:ascii="Arial" w:hAnsi="Arial" w:cs="Arial"/>
        <w:sz w:val="4"/>
      </w:rPr>
    </w:pPr>
    <w:r>
      <w:rPr>
        <w:rFonts w:hint="eastAsia" w:ascii="微软雅黑" w:hAnsi="微软雅黑" w:eastAsia="微软雅黑" w:cs="Arial"/>
        <w:b/>
        <w:sz w:val="21"/>
        <w:szCs w:val="21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attachedTemplate r:id="rId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AFA"/>
    <w:rsid w:val="000044F9"/>
    <w:rsid w:val="0001144F"/>
    <w:rsid w:val="00012EE8"/>
    <w:rsid w:val="00022F30"/>
    <w:rsid w:val="000441B2"/>
    <w:rsid w:val="000724D0"/>
    <w:rsid w:val="00090E36"/>
    <w:rsid w:val="0009135C"/>
    <w:rsid w:val="000B3EB3"/>
    <w:rsid w:val="001073A1"/>
    <w:rsid w:val="00132912"/>
    <w:rsid w:val="00145EFC"/>
    <w:rsid w:val="00151644"/>
    <w:rsid w:val="001C7934"/>
    <w:rsid w:val="001D3D86"/>
    <w:rsid w:val="001D55DC"/>
    <w:rsid w:val="001E6EAA"/>
    <w:rsid w:val="0021308A"/>
    <w:rsid w:val="002373FA"/>
    <w:rsid w:val="0024122C"/>
    <w:rsid w:val="00244FE4"/>
    <w:rsid w:val="00256121"/>
    <w:rsid w:val="002C2B99"/>
    <w:rsid w:val="0030734E"/>
    <w:rsid w:val="00311668"/>
    <w:rsid w:val="0031577B"/>
    <w:rsid w:val="00346B1B"/>
    <w:rsid w:val="003534EE"/>
    <w:rsid w:val="003542A5"/>
    <w:rsid w:val="00361ABC"/>
    <w:rsid w:val="00367116"/>
    <w:rsid w:val="003A708B"/>
    <w:rsid w:val="003B12E5"/>
    <w:rsid w:val="003B27DE"/>
    <w:rsid w:val="003B7285"/>
    <w:rsid w:val="003D2B06"/>
    <w:rsid w:val="003E4660"/>
    <w:rsid w:val="0040075C"/>
    <w:rsid w:val="00411DF9"/>
    <w:rsid w:val="00412FDB"/>
    <w:rsid w:val="00427F8A"/>
    <w:rsid w:val="00431AA3"/>
    <w:rsid w:val="00450130"/>
    <w:rsid w:val="0047270F"/>
    <w:rsid w:val="004731A7"/>
    <w:rsid w:val="005335EF"/>
    <w:rsid w:val="0053780A"/>
    <w:rsid w:val="0055392C"/>
    <w:rsid w:val="005602A9"/>
    <w:rsid w:val="00563AFA"/>
    <w:rsid w:val="0058584C"/>
    <w:rsid w:val="005A18C5"/>
    <w:rsid w:val="005A1A73"/>
    <w:rsid w:val="005E124F"/>
    <w:rsid w:val="005F67BC"/>
    <w:rsid w:val="005F7430"/>
    <w:rsid w:val="00641F20"/>
    <w:rsid w:val="0065383C"/>
    <w:rsid w:val="006553DC"/>
    <w:rsid w:val="00674355"/>
    <w:rsid w:val="00687CAE"/>
    <w:rsid w:val="00697D53"/>
    <w:rsid w:val="006B04B3"/>
    <w:rsid w:val="006B3187"/>
    <w:rsid w:val="006D232E"/>
    <w:rsid w:val="007051F1"/>
    <w:rsid w:val="00724BCB"/>
    <w:rsid w:val="007256C0"/>
    <w:rsid w:val="007509A3"/>
    <w:rsid w:val="00764470"/>
    <w:rsid w:val="007773F5"/>
    <w:rsid w:val="00781BDC"/>
    <w:rsid w:val="0079255C"/>
    <w:rsid w:val="00797270"/>
    <w:rsid w:val="007A3F97"/>
    <w:rsid w:val="007C1979"/>
    <w:rsid w:val="007E3062"/>
    <w:rsid w:val="007F247A"/>
    <w:rsid w:val="0081276F"/>
    <w:rsid w:val="00837E41"/>
    <w:rsid w:val="00846B0B"/>
    <w:rsid w:val="00882D6C"/>
    <w:rsid w:val="008B0DA7"/>
    <w:rsid w:val="008D4458"/>
    <w:rsid w:val="00911495"/>
    <w:rsid w:val="00911D3A"/>
    <w:rsid w:val="00921233"/>
    <w:rsid w:val="00965B74"/>
    <w:rsid w:val="009B3138"/>
    <w:rsid w:val="009F69BE"/>
    <w:rsid w:val="00A13D94"/>
    <w:rsid w:val="00A20618"/>
    <w:rsid w:val="00A3284B"/>
    <w:rsid w:val="00A4605B"/>
    <w:rsid w:val="00A62861"/>
    <w:rsid w:val="00A773F4"/>
    <w:rsid w:val="00B22AC8"/>
    <w:rsid w:val="00B43315"/>
    <w:rsid w:val="00B858D5"/>
    <w:rsid w:val="00B87955"/>
    <w:rsid w:val="00B9450B"/>
    <w:rsid w:val="00BA6BB0"/>
    <w:rsid w:val="00BB3099"/>
    <w:rsid w:val="00BD4E76"/>
    <w:rsid w:val="00BD7B46"/>
    <w:rsid w:val="00BF6B01"/>
    <w:rsid w:val="00C26EE6"/>
    <w:rsid w:val="00C36B48"/>
    <w:rsid w:val="00C43FD0"/>
    <w:rsid w:val="00CA3728"/>
    <w:rsid w:val="00CA62C5"/>
    <w:rsid w:val="00CD1B46"/>
    <w:rsid w:val="00D06194"/>
    <w:rsid w:val="00D079B4"/>
    <w:rsid w:val="00D54DCB"/>
    <w:rsid w:val="00D74765"/>
    <w:rsid w:val="00D83A26"/>
    <w:rsid w:val="00D85B87"/>
    <w:rsid w:val="00D8601D"/>
    <w:rsid w:val="00DC18AF"/>
    <w:rsid w:val="00DC3877"/>
    <w:rsid w:val="00DE01B7"/>
    <w:rsid w:val="00DF106A"/>
    <w:rsid w:val="00E138A6"/>
    <w:rsid w:val="00E1447F"/>
    <w:rsid w:val="00E30709"/>
    <w:rsid w:val="00E325B3"/>
    <w:rsid w:val="00E57228"/>
    <w:rsid w:val="00E638A8"/>
    <w:rsid w:val="00E66FED"/>
    <w:rsid w:val="00E92EEC"/>
    <w:rsid w:val="00EB7C00"/>
    <w:rsid w:val="00EE7F91"/>
    <w:rsid w:val="00F00D3D"/>
    <w:rsid w:val="00F03438"/>
    <w:rsid w:val="00F0433C"/>
    <w:rsid w:val="00F24C6F"/>
    <w:rsid w:val="00F27372"/>
    <w:rsid w:val="00F63F93"/>
    <w:rsid w:val="00F656E6"/>
    <w:rsid w:val="00F70765"/>
    <w:rsid w:val="00F87013"/>
    <w:rsid w:val="00FA226B"/>
    <w:rsid w:val="00FC789B"/>
    <w:rsid w:val="00FF0FFB"/>
    <w:rsid w:val="00FF70AD"/>
    <w:rsid w:val="DDFF0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nhideWhenUsed="0" w:uiPriority="99" w:semiHidden="0" w:name="Table Subtle 2"/>
    <w:lsdException w:uiPriority="99" w:name="Table Web 1"/>
    <w:lsdException w:uiPriority="99" w:name="Table Web 2"/>
    <w:lsdException w:unhideWhenUsed="0" w:uiPriority="99" w:semiHidden="0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ascii="Calibri" w:hAnsi="Calibri" w:eastAsia="宋体" w:cs="Calibri"/>
      <w:kern w:val="0"/>
      <w:sz w:val="21"/>
      <w:szCs w:val="21"/>
      <w:lang w:val="en-US" w:eastAsia="zh-CN" w:bidi="ar-SA"/>
    </w:rPr>
  </w:style>
  <w:style w:type="character" w:default="1" w:styleId="7">
    <w:name w:val="Default Paragraph Font"/>
    <w:unhideWhenUsed/>
    <w:qFormat/>
    <w:uiPriority w:val="1"/>
  </w:style>
  <w:style w:type="table" w:default="1" w:styleId="10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link w:val="18"/>
    <w:unhideWhenUsed/>
    <w:qFormat/>
    <w:uiPriority w:val="99"/>
    <w:pPr>
      <w:widowControl w:val="0"/>
      <w:jc w:val="left"/>
    </w:pPr>
    <w:rPr>
      <w:rFonts w:cs="Times New Roman"/>
      <w:kern w:val="2"/>
      <w:szCs w:val="22"/>
    </w:rPr>
  </w:style>
  <w:style w:type="paragraph" w:styleId="3">
    <w:name w:val="Date"/>
    <w:basedOn w:val="1"/>
    <w:next w:val="1"/>
    <w:link w:val="20"/>
    <w:unhideWhenUsed/>
    <w:qFormat/>
    <w:uiPriority w:val="99"/>
    <w:pPr>
      <w:ind w:left="100" w:leftChars="2500"/>
    </w:pPr>
  </w:style>
  <w:style w:type="paragraph" w:styleId="4">
    <w:name w:val="Balloon Text"/>
    <w:basedOn w:val="1"/>
    <w:link w:val="14"/>
    <w:unhideWhenUsed/>
    <w:qFormat/>
    <w:uiPriority w:val="99"/>
    <w:rPr>
      <w:sz w:val="18"/>
      <w:szCs w:val="18"/>
    </w:rPr>
  </w:style>
  <w:style w:type="paragraph" w:styleId="5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8">
    <w:name w:val="Hyperlink"/>
    <w:qFormat/>
    <w:uiPriority w:val="0"/>
    <w:rPr>
      <w:color w:val="2779B6"/>
      <w:u w:val="single"/>
    </w:rPr>
  </w:style>
  <w:style w:type="character" w:styleId="9">
    <w:name w:val="annotation reference"/>
    <w:basedOn w:val="7"/>
    <w:unhideWhenUsed/>
    <w:qFormat/>
    <w:uiPriority w:val="99"/>
    <w:rPr>
      <w:sz w:val="21"/>
      <w:szCs w:val="21"/>
    </w:rPr>
  </w:style>
  <w:style w:type="table" w:styleId="11">
    <w:name w:val="Table Grid"/>
    <w:basedOn w:val="10"/>
    <w:qFormat/>
    <w:uiPriority w:val="59"/>
    <w:pPr>
      <w:widowControl w:val="0"/>
      <w:jc w:val="both"/>
    </w:pPr>
    <w:rPr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2">
    <w:name w:val="页眉 字符"/>
    <w:basedOn w:val="7"/>
    <w:link w:val="6"/>
    <w:qFormat/>
    <w:uiPriority w:val="99"/>
    <w:rPr>
      <w:sz w:val="18"/>
      <w:szCs w:val="18"/>
    </w:rPr>
  </w:style>
  <w:style w:type="character" w:customStyle="1" w:styleId="13">
    <w:name w:val="页脚 字符"/>
    <w:basedOn w:val="7"/>
    <w:link w:val="5"/>
    <w:qFormat/>
    <w:uiPriority w:val="99"/>
    <w:rPr>
      <w:sz w:val="18"/>
      <w:szCs w:val="18"/>
    </w:rPr>
  </w:style>
  <w:style w:type="character" w:customStyle="1" w:styleId="14">
    <w:name w:val="批注框文本 字符"/>
    <w:basedOn w:val="7"/>
    <w:link w:val="4"/>
    <w:semiHidden/>
    <w:qFormat/>
    <w:uiPriority w:val="99"/>
    <w:rPr>
      <w:sz w:val="18"/>
      <w:szCs w:val="18"/>
    </w:rPr>
  </w:style>
  <w:style w:type="paragraph" w:customStyle="1" w:styleId="15">
    <w:name w:val="Default"/>
    <w:qFormat/>
    <w:uiPriority w:val="0"/>
    <w:pPr>
      <w:widowControl w:val="0"/>
      <w:autoSpaceDE w:val="0"/>
      <w:autoSpaceDN w:val="0"/>
      <w:adjustRightInd w:val="0"/>
    </w:pPr>
    <w:rPr>
      <w:rFonts w:ascii="华文细黑" w:hAnsi="华文细黑" w:eastAsia="宋体" w:cs="华文细黑"/>
      <w:color w:val="000000"/>
      <w:kern w:val="0"/>
      <w:sz w:val="24"/>
      <w:szCs w:val="24"/>
      <w:lang w:val="en-US" w:eastAsia="zh-CN" w:bidi="ar-SA"/>
    </w:rPr>
  </w:style>
  <w:style w:type="paragraph" w:customStyle="1" w:styleId="16">
    <w:name w:val="列出段落1"/>
    <w:basedOn w:val="1"/>
    <w:qFormat/>
    <w:uiPriority w:val="34"/>
    <w:pPr>
      <w:ind w:firstLine="420"/>
      <w:jc w:val="left"/>
    </w:pPr>
    <w:rPr>
      <w:rFonts w:ascii="宋体" w:hAnsi="宋体" w:cs="宋体"/>
      <w:sz w:val="24"/>
      <w:szCs w:val="24"/>
    </w:rPr>
  </w:style>
  <w:style w:type="paragraph" w:customStyle="1" w:styleId="17">
    <w:name w:val="List Paragraph"/>
    <w:basedOn w:val="1"/>
    <w:qFormat/>
    <w:uiPriority w:val="34"/>
    <w:pPr>
      <w:ind w:firstLine="420" w:firstLineChars="200"/>
    </w:pPr>
  </w:style>
  <w:style w:type="character" w:customStyle="1" w:styleId="18">
    <w:name w:val="批注文字 字符"/>
    <w:basedOn w:val="7"/>
    <w:link w:val="2"/>
    <w:qFormat/>
    <w:uiPriority w:val="99"/>
    <w:rPr>
      <w:rFonts w:ascii="Calibri" w:hAnsi="Calibri" w:eastAsia="宋体" w:cs="Times New Roman"/>
    </w:rPr>
  </w:style>
  <w:style w:type="character" w:customStyle="1" w:styleId="19">
    <w:name w:val="def"/>
    <w:basedOn w:val="7"/>
    <w:qFormat/>
    <w:uiPriority w:val="0"/>
  </w:style>
  <w:style w:type="character" w:customStyle="1" w:styleId="20">
    <w:name w:val="日期 字符"/>
    <w:basedOn w:val="7"/>
    <w:link w:val="3"/>
    <w:semiHidden/>
    <w:qFormat/>
    <w:uiPriority w:val="99"/>
    <w:rPr>
      <w:rFonts w:ascii="Calibri" w:hAnsi="Calibri" w:eastAsia="宋体" w:cs="Calibri"/>
      <w:kern w:val="0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lm12/Library/Containers/com.kingsoft.wpsoffice.mac/Data/D:\&#21807;&#37117;\&#20449;&#32440;EXCEL&#27169;&#26495;\&#21807;&#37117;&#20449;&#32440;&#27169;&#26495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唯都信纸模板.dotx</Template>
  <Pages>1</Pages>
  <Words>12</Words>
  <Characters>75</Characters>
  <Lines>1</Lines>
  <Paragraphs>1</Paragraphs>
  <TotalTime>0</TotalTime>
  <ScaleCrop>false</ScaleCrop>
  <LinksUpToDate>false</LinksUpToDate>
  <CharactersWithSpaces>86</CharactersWithSpaces>
  <Application>WPS Office_3.0.0.4824_F1E327BC-269C-435d-A152-05C5408002CA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2017-11-17T18:10:00Z</dcterms:created>
  <dc:creator>ewe</dc:creator>
  <cp:lastModifiedBy>lm12</cp:lastModifiedBy>
  <cp:lastPrinted>2017-05-03T11:57:00Z</cp:lastPrinted>
  <dcterms:modified xsi:type="dcterms:W3CDTF">2020-12-01T15:11:16Z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2052-3.0.0.4824</vt:lpwstr>
  </property>
</Properties>
</file>