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Manta 产品用户手册</w:t>
      </w:r>
    </w:p>
    <w:p>
      <w:pPr>
        <w:jc w:val="center"/>
      </w:pPr>
      <w:r>
        <w:br/>
        <w:br/>
        <w:br/>
        <w:br/>
        <w:br/>
        <w:br/>
      </w:r>
    </w:p>
    <w:p>
      <w:pPr>
        <w:jc w:val="center"/>
      </w:pPr>
      <w:r>
        <w:rPr>
          <w:b/>
        </w:rPr>
        <w:t>版本: v1.0</w:t>
        <w:br/>
        <w:t>日期: 2026-03-13</w:t>
        <w:br/>
        <w:t>适用对象: 终端用户 / 运营人员</w:t>
      </w:r>
    </w:p>
    <w:p>
      <w:r>
        <w:br w:type="page"/>
      </w:r>
    </w:p>
    <w:p>
      <w:pPr>
        <w:pStyle w:val="Heading1"/>
      </w:pPr>
      <w:r>
        <w:t>版本记录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版本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日期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修改人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v1.0</w:t>
            </w:r>
          </w:p>
        </w:tc>
        <w:tc>
          <w:tcPr>
            <w:tcW w:type="dxa" w:w="2160"/>
          </w:tcPr>
          <w:p>
            <w:r>
              <w:t>2026-03-13</w:t>
            </w:r>
          </w:p>
        </w:tc>
        <w:tc>
          <w:tcPr>
            <w:tcW w:type="dxa" w:w="2160"/>
          </w:tcPr>
          <w:p>
            <w:r>
              <w:t>Manta Team</w:t>
            </w:r>
          </w:p>
        </w:tc>
        <w:tc>
          <w:tcPr>
            <w:tcW w:type="dxa" w:w="2160"/>
          </w:tcPr>
          <w:p>
            <w:r>
              <w:t>初始版本发布</w:t>
            </w:r>
          </w:p>
        </w:tc>
      </w:tr>
    </w:tbl>
    <w:p>
      <w:r>
        <w:br w:type="page"/>
      </w:r>
    </w:p>
    <w:p>
      <w:pPr>
        <w:pStyle w:val="Heading1"/>
      </w:pPr>
      <w:r>
        <w:t>目录</w:t>
      </w:r>
    </w:p>
    <w:p>
      <w:r>
        <w:t>（请在 Word 中右键更新域以生成最新目录）</w:t>
      </w:r>
    </w:p>
    <w:p>
      <w:r>
        <w:t>1. 使用场景概述................................................................... 3</w:t>
      </w:r>
    </w:p>
    <w:p>
      <w:r>
        <w:t>2. Spot Market 操作指南.......................................................... 4</w:t>
      </w:r>
    </w:p>
    <w:p>
      <w:r>
        <w:t>3. DER Management 操作指南....................................................... 6</w:t>
      </w:r>
    </w:p>
    <w:p>
      <w:r>
        <w:t>4. VPP Management 操作指南....................................................... 8</w:t>
      </w:r>
    </w:p>
    <w:p>
      <w:r>
        <w:t>5. DER Access 操作指南........................................................... 10</w:t>
      </w:r>
    </w:p>
    <w:p>
      <w:r>
        <w:t>6. 常见问题排查................................................................... 12</w:t>
      </w:r>
    </w:p>
    <w:p>
      <w:r>
        <w:t>7. 技术支持联系方式............................................................... 13</w:t>
      </w:r>
    </w:p>
    <w:p>
      <w:r>
        <w:t>附录：术语与缩略语................................................................. 14</w:t>
      </w:r>
    </w:p>
    <w:p>
      <w:r>
        <w:br w:type="page"/>
      </w:r>
    </w:p>
    <w:p>
      <w:pPr>
        <w:pStyle w:val="Heading1"/>
      </w:pPr>
      <w:r>
        <w:t>1. 使用场景概述</w:t>
      </w:r>
    </w:p>
    <w:p>
      <w:r>
        <w:t>Manta 平台旨在为 VPP 运营商和聚合商提供全面的分布式能源管理解决方案。主要使用场景包括：</w:t>
      </w:r>
    </w:p>
    <w:p>
      <w:pPr>
        <w:pStyle w:val="ListNumber"/>
      </w:pPr>
      <w:r>
        <w:t>1. 实时监控分布式能源资产（DERs）的运行状态与性能。</w:t>
      </w:r>
    </w:p>
    <w:p>
      <w:pPr>
        <w:pStyle w:val="ListNumber"/>
      </w:pPr>
      <w:r>
        <w:t>2. 管理虚拟电厂（VPP）的创建、资源分配与调度。</w:t>
      </w:r>
    </w:p>
    <w:p>
      <w:pPr>
        <w:pStyle w:val="ListNumber"/>
      </w:pPr>
      <w:r>
        <w:t>3. 参与电力现货市场（Spot Market）交易，优化收益。</w:t>
      </w:r>
    </w:p>
    <w:p>
      <w:pPr>
        <w:pStyle w:val="ListNumber"/>
      </w:pPr>
      <w:r>
        <w:t>4. 管理第三方设备接入（DER Access），确保数据互通。</w:t>
      </w:r>
    </w:p>
    <w:p>
      <w:r>
        <w:br/>
        <w:t>[截图建议: Manta 平台 Dashboard 全局概览图，展示各模块入口及关键指标]</w:t>
      </w:r>
    </w:p>
    <w:p>
      <w:pPr>
        <w:jc w:val="center"/>
      </w:pPr>
      <w:r>
        <w:t>图 1-1 Manta 平台概览</w:t>
      </w:r>
    </w:p>
    <w:p>
      <w:r>
        <w:br w:type="page"/>
      </w:r>
    </w:p>
    <w:p>
      <w:pPr>
        <w:pStyle w:val="Heading1"/>
      </w:pPr>
      <w:r>
        <w:t>2. Spot Market 操作指南</w:t>
      </w:r>
    </w:p>
    <w:p>
      <w:r>
        <w:t>Spot Market 模块用于监控和参与电力现货市场交易。</w:t>
      </w:r>
    </w:p>
    <w:p>
      <w:pPr>
        <w:pStyle w:val="Heading2"/>
      </w:pPr>
      <w:r>
        <w:t>2.1 功能入口</w:t>
      </w:r>
    </w:p>
    <w:p>
      <w:r>
        <w:t>在左侧导航栏选择 "Spot Market"。</w:t>
      </w:r>
    </w:p>
    <w:p>
      <w:pPr>
        <w:pStyle w:val="Heading2"/>
      </w:pPr>
      <w:r>
        <w:t>2.2 核心功能</w:t>
      </w:r>
    </w:p>
    <w:p>
      <w:r>
        <w:t>1. 市场概览：查看各区域（NSW, QLD, SA, VIC）的实时电价与预测电价。</w:t>
      </w:r>
    </w:p>
    <w:p>
      <w:r>
        <w:t>2. 交易事件：查看自动生成的充放电交易建议。</w:t>
      </w:r>
    </w:p>
    <w:p>
      <w:r>
        <w:t>3. 收益分析：统计不同时间段的交易收益。</w:t>
      </w:r>
    </w:p>
    <w:p>
      <w:pPr>
        <w:pStyle w:val="Heading2"/>
      </w:pPr>
      <w:r>
        <w:t>2.3 操作步骤</w:t>
      </w:r>
    </w:p>
    <w:p>
      <w:pPr>
        <w:pStyle w:val="Heading3"/>
      </w:pPr>
      <w:r>
        <w:t>2.3.1 查看实时电价</w:t>
      </w:r>
    </w:p>
    <w:p>
      <w:r>
        <w:t>进入页面后，顶部卡片展示当前各州的 Spot Price（现货价格）和 Forecast Price（预测价格）。</w:t>
      </w:r>
    </w:p>
    <w:p>
      <w:r>
        <w:br/>
        <w:t>[截图建议: Spot Market 顶部价格卡片，显示 NSW/QLD/SA/VIC 实时价格]</w:t>
      </w:r>
    </w:p>
    <w:p>
      <w:pPr>
        <w:jc w:val="center"/>
      </w:pPr>
      <w:r>
        <w:t>图 2-1 实时电价概览</w:t>
      </w:r>
    </w:p>
    <w:p>
      <w:pPr>
        <w:pStyle w:val="Heading3"/>
      </w:pPr>
      <w:r>
        <w:t>2.3.2 响应交易事件</w:t>
      </w:r>
    </w:p>
    <w:p>
      <w:r>
        <w:t>在 "Trading Events" 列表中，系统会根据电价波动自动生成 "Charge"（充电）或 "Discharge"（放电）建议。</w:t>
      </w:r>
    </w:p>
    <w:p>
      <w:r>
        <w:t>1. 观察 "Events" 列表中的建议操作。</w:t>
      </w:r>
    </w:p>
    <w:p>
      <w:r>
        <w:t>2. 点击 "Details" 查看价格趋势与预期收益。</w:t>
      </w:r>
    </w:p>
    <w:p>
      <w:r>
        <w:br/>
        <w:t>[截图建议: Trading Events 列表，展示 Charge/Discharge 事件及收益预测]</w:t>
      </w:r>
    </w:p>
    <w:p>
      <w:pPr>
        <w:jc w:val="center"/>
      </w:pPr>
      <w:r>
        <w:t>图 2-2 交易事件列表</w:t>
      </w:r>
    </w:p>
    <w:p>
      <w:r>
        <w:br w:type="page"/>
      </w:r>
    </w:p>
    <w:p>
      <w:pPr>
        <w:pStyle w:val="Heading1"/>
      </w:pPr>
      <w:r>
        <w:t>3. DER Management 操作指南</w:t>
      </w:r>
    </w:p>
    <w:p>
      <w:r>
        <w:t>DER Management 模块用于对分布式能源设备进行全生命周期管理。</w:t>
      </w:r>
    </w:p>
    <w:p>
      <w:pPr>
        <w:pStyle w:val="Heading2"/>
      </w:pPr>
      <w:r>
        <w:t>3.1 功能入口</w:t>
      </w:r>
    </w:p>
    <w:p>
      <w:r>
        <w:t>在左侧导航栏选择 "DER Management" -&gt; "Devices"。</w:t>
      </w:r>
    </w:p>
    <w:p>
      <w:pPr>
        <w:pStyle w:val="Heading2"/>
      </w:pPr>
      <w:r>
        <w:t>3.2 核心功能</w:t>
      </w:r>
    </w:p>
    <w:p>
      <w:r>
        <w:t>1. 设备列表：展示所有接入设备的 SN、厂商、类型、状态等信息。</w:t>
      </w:r>
    </w:p>
    <w:p>
      <w:r>
        <w:t>2. 设备详情：查看单个设备的实时功率、SOC、电压电流等数据。</w:t>
      </w:r>
    </w:p>
    <w:p>
      <w:r>
        <w:t>3. 状态监控：实时告警（Offline, Fault）。</w:t>
      </w:r>
    </w:p>
    <w:p>
      <w:pPr>
        <w:pStyle w:val="Heading2"/>
      </w:pPr>
      <w:r>
        <w:t>3.3 操作步骤</w:t>
      </w:r>
    </w:p>
    <w:p>
      <w:pPr>
        <w:pStyle w:val="Heading3"/>
      </w:pPr>
      <w:r>
        <w:t>3.3.1 搜索设备</w:t>
      </w:r>
    </w:p>
    <w:p>
      <w:r>
        <w:t>在搜索框输入设备 SN（序列号）或用户名称，快速定位设备。</w:t>
      </w:r>
    </w:p>
    <w:p>
      <w:r>
        <w:br/>
        <w:t>[截图建议: 设备列表页，展示搜索框及设备表格]</w:t>
      </w:r>
    </w:p>
    <w:p>
      <w:pPr>
        <w:jc w:val="center"/>
      </w:pPr>
      <w:r>
        <w:t>图 3-1 设备列表与搜索</w:t>
      </w:r>
    </w:p>
    <w:p>
      <w:pPr>
        <w:pStyle w:val="Heading3"/>
      </w:pPr>
      <w:r>
        <w:t>3.3.2 查看设备详情</w:t>
      </w:r>
    </w:p>
    <w:p>
      <w:r>
        <w:t>点击设备列表中的 "View" 按钮，进入详情页。详情页展示了设备的实时功率曲线和历史数据。</w:t>
      </w:r>
    </w:p>
    <w:p>
      <w:r>
        <w:br/>
        <w:t>[截图建议: 设备详情页，展示功率曲线图表及电池 SOC 状态]</w:t>
      </w:r>
    </w:p>
    <w:p>
      <w:pPr>
        <w:jc w:val="center"/>
      </w:pPr>
      <w:r>
        <w:t>图 3-2 设备详情页</w:t>
      </w:r>
    </w:p>
    <w:p>
      <w:r>
        <w:br w:type="page"/>
      </w:r>
    </w:p>
    <w:p>
      <w:pPr>
        <w:pStyle w:val="Heading1"/>
      </w:pPr>
      <w:r>
        <w:t>4. VPP Management 操作指南</w:t>
      </w:r>
    </w:p>
    <w:p>
      <w:r>
        <w:t>VPP Management 模块用于构建和管理虚拟电厂实例。</w:t>
      </w:r>
    </w:p>
    <w:p>
      <w:pPr>
        <w:pStyle w:val="Heading2"/>
      </w:pPr>
      <w:r>
        <w:t>4.1 功能入口</w:t>
      </w:r>
    </w:p>
    <w:p>
      <w:r>
        <w:t>在左侧导航栏选择 "VPP Management"。</w:t>
      </w:r>
    </w:p>
    <w:p>
      <w:pPr>
        <w:pStyle w:val="Heading2"/>
      </w:pPr>
      <w:r>
        <w:t>4.2 核心功能</w:t>
      </w:r>
    </w:p>
    <w:p>
      <w:r>
        <w:t>1. VPP 创建：定义新的 VPP 实例，指定区域和容量目标。</w:t>
      </w:r>
    </w:p>
    <w:p>
      <w:r>
        <w:t>2. 资源分配：将 DER 设备分配到指定的 VPP 中。</w:t>
      </w:r>
    </w:p>
    <w:p>
      <w:r>
        <w:t>3. 调度管理：设置 VPP 的调度策略（如 FCAS 响应）。</w:t>
      </w:r>
    </w:p>
    <w:p>
      <w:pPr>
        <w:pStyle w:val="Heading2"/>
      </w:pPr>
      <w:r>
        <w:t>4.3 操作步骤</w:t>
      </w:r>
    </w:p>
    <w:p>
      <w:pPr>
        <w:pStyle w:val="Heading3"/>
      </w:pPr>
      <w:r>
        <w:t>4.3.1 创建 VPP</w:t>
      </w:r>
    </w:p>
    <w:p>
      <w:r>
        <w:t>点击右上角 "Create VPP" 按钮，填写 VPP 名称、所在区域（Region）等信息，保存即可。</w:t>
      </w:r>
    </w:p>
    <w:p>
      <w:r>
        <w:br/>
        <w:t>[截图建议: VPP 创建弹窗，填写名称与区域]</w:t>
      </w:r>
    </w:p>
    <w:p>
      <w:pPr>
        <w:jc w:val="center"/>
      </w:pPr>
      <w:r>
        <w:t>图 4-1 创建 VPP</w:t>
      </w:r>
    </w:p>
    <w:p>
      <w:pPr>
        <w:pStyle w:val="Heading3"/>
      </w:pPr>
      <w:r>
        <w:t>4.3.2 分配资源</w:t>
      </w:r>
    </w:p>
    <w:p>
      <w:r>
        <w:t>进入 VPP 详情页，点击 "Add Devices"，勾选需要加入该 VPP 的设备。</w:t>
      </w:r>
    </w:p>
    <w:p>
      <w:r>
        <w:br/>
        <w:t>[截图建议: VPP 详情页资源列表，显示已分配设备]</w:t>
      </w:r>
    </w:p>
    <w:p>
      <w:pPr>
        <w:jc w:val="center"/>
      </w:pPr>
      <w:r>
        <w:t>图 4-2 VPP 资源分配</w:t>
      </w:r>
    </w:p>
    <w:p>
      <w:r>
        <w:br w:type="page"/>
      </w:r>
    </w:p>
    <w:p>
      <w:pPr>
        <w:pStyle w:val="Heading1"/>
      </w:pPr>
      <w:r>
        <w:t>5. DER Access 操作指南</w:t>
      </w:r>
    </w:p>
    <w:p>
      <w:r>
        <w:t>DER Access 模块负责第三方设备和平台的接入配置。</w:t>
      </w:r>
    </w:p>
    <w:p>
      <w:pPr>
        <w:pStyle w:val="Heading2"/>
      </w:pPr>
      <w:r>
        <w:t>5.1 功能入口</w:t>
      </w:r>
    </w:p>
    <w:p>
      <w:r>
        <w:t>在左侧导航栏选择 "DER Access"。</w:t>
      </w:r>
    </w:p>
    <w:p>
      <w:pPr>
        <w:pStyle w:val="Heading2"/>
      </w:pPr>
      <w:r>
        <w:t>5.2 核心功能</w:t>
      </w:r>
    </w:p>
    <w:p>
      <w:r>
        <w:t>1. 接入配置：配置 API Key 或云平台凭证。</w:t>
      </w:r>
    </w:p>
    <w:p>
      <w:r>
        <w:t>2. 连接状态：监控与第三方云平台的连接健康度。</w:t>
      </w:r>
    </w:p>
    <w:p>
      <w:pPr>
        <w:pStyle w:val="Heading2"/>
      </w:pPr>
      <w:r>
        <w:t>5.3 操作步骤</w:t>
      </w:r>
    </w:p>
    <w:p>
      <w:pPr>
        <w:pStyle w:val="Heading3"/>
      </w:pPr>
      <w:r>
        <w:t>5.3.1 添加接入点</w:t>
      </w:r>
    </w:p>
    <w:p>
      <w:r>
        <w:t>点击 "Add Access"，选择厂商（如 Sungrow, Tesla），输入认证信息。</w:t>
      </w:r>
    </w:p>
    <w:p>
      <w:r>
        <w:br/>
        <w:t>[截图建议: Access 配置界面，选择厂商并输入 API Key]</w:t>
      </w:r>
    </w:p>
    <w:p>
      <w:pPr>
        <w:jc w:val="center"/>
      </w:pPr>
      <w:r>
        <w:t>图 5-1 添加接入点</w:t>
      </w:r>
    </w:p>
    <w:p>
      <w:pPr>
        <w:pStyle w:val="Heading3"/>
      </w:pPr>
      <w:r>
        <w:t>5.3.2 验证连接</w:t>
      </w:r>
    </w:p>
    <w:p>
      <w:r>
        <w:t>保存后，系统会自动测试连接。状态显示为 "Connected" 即表示接入成功。</w:t>
      </w:r>
    </w:p>
    <w:p>
      <w:r>
        <w:br w:type="page"/>
      </w:r>
    </w:p>
    <w:p>
      <w:pPr>
        <w:pStyle w:val="Heading1"/>
      </w:pPr>
      <w:r>
        <w:t>6. 常见问题排查</w:t>
      </w:r>
    </w:p>
    <w:p>
      <w:r>
        <w:t>Q: 设备显示离线（Offline）怎么办？</w:t>
      </w:r>
    </w:p>
    <w:p>
      <w:r>
        <w:t>A: 请检查设备本地网络连接，或确认 DER Access 模块中的云平台连接状态是否正常。</w:t>
      </w:r>
    </w:p>
    <w:p>
      <w:r>
        <w:t>Q: 交易事件未触发？</w:t>
      </w:r>
    </w:p>
    <w:p>
      <w:r>
        <w:t>A: 请检查 Spot Market 中的价格阈值设置，确认当前电价是否满足触发条件。</w:t>
      </w:r>
    </w:p>
    <w:p>
      <w:r>
        <w:t>Q: VPP 容量显示不正确？</w:t>
      </w:r>
    </w:p>
    <w:p>
      <w:r>
        <w:t>A: 确认所有分配的 DER 设备均已上线且数据上报正常。</w:t>
      </w:r>
    </w:p>
    <w:p>
      <w:r>
        <w:br w:type="page"/>
      </w:r>
    </w:p>
    <w:p>
      <w:pPr>
        <w:pStyle w:val="Heading1"/>
      </w:pPr>
      <w:r>
        <w:t>7. 技术支持联系方式</w:t>
      </w:r>
    </w:p>
    <w:p>
      <w:r>
        <w:t>如遇无法解决的问题，请联系技术支持团队：</w:t>
      </w:r>
    </w:p>
    <w:p>
      <w:r>
        <w:t>邮箱: support@manta.energy</w:t>
      </w:r>
    </w:p>
    <w:p>
      <w:r>
        <w:t>电话: +61 123 456 789</w:t>
      </w:r>
    </w:p>
    <w:p>
      <w:r>
        <w:t>工作时间: 周一至周五 9:00 - 18:00 (AEST)</w:t>
      </w:r>
    </w:p>
    <w:p>
      <w:r>
        <w:br w:type="page"/>
      </w:r>
    </w:p>
    <w:p>
      <w:pPr>
        <w:pStyle w:val="Heading1"/>
      </w:pPr>
      <w:r>
        <w:t>附录：术语与缩略语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缩略语/术语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英文全称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中文解释</w:t>
            </w:r>
          </w:p>
        </w:tc>
      </w:tr>
      <w:tr>
        <w:tc>
          <w:tcPr>
            <w:tcW w:type="dxa" w:w="2880"/>
          </w:tcPr>
          <w:p>
            <w:r>
              <w:t>VPP</w:t>
            </w:r>
          </w:p>
        </w:tc>
        <w:tc>
          <w:tcPr>
            <w:tcW w:type="dxa" w:w="2880"/>
          </w:tcPr>
          <w:p>
            <w:r>
              <w:t>Virtual Power Plant</w:t>
            </w:r>
          </w:p>
        </w:tc>
        <w:tc>
          <w:tcPr>
            <w:tcW w:type="dxa" w:w="2880"/>
          </w:tcPr>
          <w:p>
            <w:r>
              <w:t>虚拟电厂</w:t>
            </w:r>
          </w:p>
        </w:tc>
      </w:tr>
      <w:tr>
        <w:tc>
          <w:tcPr>
            <w:tcW w:type="dxa" w:w="2880"/>
          </w:tcPr>
          <w:p>
            <w:r>
              <w:t>DER</w:t>
            </w:r>
          </w:p>
        </w:tc>
        <w:tc>
          <w:tcPr>
            <w:tcW w:type="dxa" w:w="2880"/>
          </w:tcPr>
          <w:p>
            <w:r>
              <w:t>Distributed Energy Resources</w:t>
            </w:r>
          </w:p>
        </w:tc>
        <w:tc>
          <w:tcPr>
            <w:tcW w:type="dxa" w:w="2880"/>
          </w:tcPr>
          <w:p>
            <w:r>
              <w:t>分布式能源</w:t>
            </w:r>
          </w:p>
        </w:tc>
      </w:tr>
      <w:tr>
        <w:tc>
          <w:tcPr>
            <w:tcW w:type="dxa" w:w="2880"/>
          </w:tcPr>
          <w:p>
            <w:r>
              <w:t>SOC</w:t>
            </w:r>
          </w:p>
        </w:tc>
        <w:tc>
          <w:tcPr>
            <w:tcW w:type="dxa" w:w="2880"/>
          </w:tcPr>
          <w:p>
            <w:r>
              <w:t>State of Charge</w:t>
            </w:r>
          </w:p>
        </w:tc>
        <w:tc>
          <w:tcPr>
            <w:tcW w:type="dxa" w:w="2880"/>
          </w:tcPr>
          <w:p>
            <w:r>
              <w:t>荷电状态（电池剩余电量）</w:t>
            </w:r>
          </w:p>
        </w:tc>
      </w:tr>
      <w:tr>
        <w:tc>
          <w:tcPr>
            <w:tcW w:type="dxa" w:w="2880"/>
          </w:tcPr>
          <w:p>
            <w:r>
              <w:t>FCAS</w:t>
            </w:r>
          </w:p>
        </w:tc>
        <w:tc>
          <w:tcPr>
            <w:tcW w:type="dxa" w:w="2880"/>
          </w:tcPr>
          <w:p>
            <w:r>
              <w:t>Frequency Control Ancillary Services</w:t>
            </w:r>
          </w:p>
        </w:tc>
        <w:tc>
          <w:tcPr>
            <w:tcW w:type="dxa" w:w="2880"/>
          </w:tcPr>
          <w:p>
            <w:r>
              <w:t>频率控制辅助服务</w:t>
            </w:r>
          </w:p>
        </w:tc>
      </w:tr>
      <w:tr>
        <w:tc>
          <w:tcPr>
            <w:tcW w:type="dxa" w:w="2880"/>
          </w:tcPr>
          <w:p>
            <w:r>
              <w:t>Spot Market</w:t>
            </w:r>
          </w:p>
        </w:tc>
        <w:tc>
          <w:tcPr>
            <w:tcW w:type="dxa" w:w="2880"/>
          </w:tcPr>
          <w:p>
            <w:r>
              <w:t>Spot Market</w:t>
            </w:r>
          </w:p>
        </w:tc>
        <w:tc>
          <w:tcPr>
            <w:tcW w:type="dxa" w:w="2880"/>
          </w:tcPr>
          <w:p>
            <w:r>
              <w:t>电力现货市场</w:t>
            </w:r>
          </w:p>
        </w:tc>
      </w:tr>
      <w:tr>
        <w:tc>
          <w:tcPr>
            <w:tcW w:type="dxa" w:w="2880"/>
          </w:tcPr>
          <w:p>
            <w:r>
              <w:t>NMI</w:t>
            </w:r>
          </w:p>
        </w:tc>
        <w:tc>
          <w:tcPr>
            <w:tcW w:type="dxa" w:w="2880"/>
          </w:tcPr>
          <w:p>
            <w:r>
              <w:t>National Metering Identifier</w:t>
            </w:r>
          </w:p>
        </w:tc>
        <w:tc>
          <w:tcPr>
            <w:tcW w:type="dxa" w:w="2880"/>
          </w:tcPr>
          <w:p>
            <w:r>
              <w:t>国家计量标识符</w:t>
            </w:r>
          </w:p>
        </w:tc>
      </w:tr>
      <w:tr>
        <w:tc>
          <w:tcPr>
            <w:tcW w:type="dxa" w:w="2880"/>
          </w:tcPr>
          <w:p>
            <w:r>
              <w:t>PV</w:t>
            </w:r>
          </w:p>
        </w:tc>
        <w:tc>
          <w:tcPr>
            <w:tcW w:type="dxa" w:w="2880"/>
          </w:tcPr>
          <w:p>
            <w:r>
              <w:t>Photovoltaic</w:t>
            </w:r>
          </w:p>
        </w:tc>
        <w:tc>
          <w:tcPr>
            <w:tcW w:type="dxa" w:w="2880"/>
          </w:tcPr>
          <w:p>
            <w:r>
              <w:t>光伏（太阳能）</w:t>
            </w:r>
          </w:p>
        </w:tc>
      </w:tr>
      <w:tr>
        <w:tc>
          <w:tcPr>
            <w:tcW w:type="dxa" w:w="2880"/>
          </w:tcPr>
          <w:p>
            <w:r>
              <w:t>ESS</w:t>
            </w:r>
          </w:p>
        </w:tc>
        <w:tc>
          <w:tcPr>
            <w:tcW w:type="dxa" w:w="2880"/>
          </w:tcPr>
          <w:p>
            <w:r>
              <w:t>Energy Storage System</w:t>
            </w:r>
          </w:p>
        </w:tc>
        <w:tc>
          <w:tcPr>
            <w:tcW w:type="dxa" w:w="2880"/>
          </w:tcPr>
          <w:p>
            <w:r>
              <w:t>储能系统</w:t>
            </w:r>
          </w:p>
        </w:tc>
      </w:tr>
      <w:tr>
        <w:tc>
          <w:tcPr>
            <w:tcW w:type="dxa" w:w="2880"/>
          </w:tcPr>
          <w:p>
            <w:r>
              <w:t>API</w:t>
            </w:r>
          </w:p>
        </w:tc>
        <w:tc>
          <w:tcPr>
            <w:tcW w:type="dxa" w:w="2880"/>
          </w:tcPr>
          <w:p>
            <w:r>
              <w:t>Application Programming Interface</w:t>
            </w:r>
          </w:p>
        </w:tc>
        <w:tc>
          <w:tcPr>
            <w:tcW w:type="dxa" w:w="2880"/>
          </w:tcPr>
          <w:p>
            <w:r>
              <w:t>应用程序接口</w:t>
            </w:r>
          </w:p>
        </w:tc>
      </w:tr>
      <w:tr>
        <w:tc>
          <w:tcPr>
            <w:tcW w:type="dxa" w:w="2880"/>
          </w:tcPr>
          <w:p>
            <w:r>
              <w:t>SN</w:t>
            </w:r>
          </w:p>
        </w:tc>
        <w:tc>
          <w:tcPr>
            <w:tcW w:type="dxa" w:w="2880"/>
          </w:tcPr>
          <w:p>
            <w:r>
              <w:t>Serial Number</w:t>
            </w:r>
          </w:p>
        </w:tc>
        <w:tc>
          <w:tcPr>
            <w:tcW w:type="dxa" w:w="2880"/>
          </w:tcPr>
          <w:p>
            <w:r>
              <w:t>设备序列号</w:t>
            </w:r>
          </w:p>
        </w:tc>
      </w:tr>
      <w:tr>
        <w:tc>
          <w:tcPr>
            <w:tcW w:type="dxa" w:w="2880"/>
          </w:tcPr>
          <w:p>
            <w:r>
              <w:t>AEST</w:t>
            </w:r>
          </w:p>
        </w:tc>
        <w:tc>
          <w:tcPr>
            <w:tcW w:type="dxa" w:w="2880"/>
          </w:tcPr>
          <w:p>
            <w:r>
              <w:t>Australian Eastern Standard Time</w:t>
            </w:r>
          </w:p>
        </w:tc>
        <w:tc>
          <w:tcPr>
            <w:tcW w:type="dxa" w:w="2880"/>
          </w:tcPr>
          <w:p>
            <w:r>
              <w:t>澳大利亚东部标准时间</w:t>
            </w:r>
          </w:p>
        </w:tc>
      </w:tr>
      <w:tr>
        <w:tc>
          <w:tcPr>
            <w:tcW w:type="dxa" w:w="2880"/>
          </w:tcPr>
          <w:p>
            <w:r>
              <w:t>NEM</w:t>
            </w:r>
          </w:p>
        </w:tc>
        <w:tc>
          <w:tcPr>
            <w:tcW w:type="dxa" w:w="2880"/>
          </w:tcPr>
          <w:p>
            <w:r>
              <w:t>National Electricity Market</w:t>
            </w:r>
          </w:p>
        </w:tc>
        <w:tc>
          <w:tcPr>
            <w:tcW w:type="dxa" w:w="2880"/>
          </w:tcPr>
          <w:p>
            <w:r>
              <w:t>国家电力市场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