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Spot Market 产品需求文档</w:t>
      </w:r>
    </w:p>
    <w:p>
      <w:pPr>
        <w:pStyle w:val="Heading1"/>
      </w:pPr>
      <w:r>
        <w:t>修订记录 (Revision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 (Version)</w:t>
            </w:r>
          </w:p>
        </w:tc>
        <w:tc>
          <w:tcPr>
            <w:tcW w:type="dxa" w:w="2160"/>
          </w:tcPr>
          <w:p>
            <w:r>
              <w:t>日期 (Date)</w:t>
            </w:r>
          </w:p>
        </w:tc>
        <w:tc>
          <w:tcPr>
            <w:tcW w:type="dxa" w:w="2160"/>
          </w:tcPr>
          <w:p>
            <w:r>
              <w:t>修改人 (Author)</w:t>
            </w:r>
          </w:p>
        </w:tc>
        <w:tc>
          <w:tcPr>
            <w:tcW w:type="dxa" w:w="2160"/>
          </w:tcPr>
          <w:p>
            <w:r>
              <w:t>说明 (Description)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2026-02-05</w:t>
            </w:r>
          </w:p>
        </w:tc>
        <w:tc>
          <w:tcPr>
            <w:tcW w:type="dxa" w:w="2160"/>
          </w:tcPr>
          <w:p>
            <w:r>
              <w:t>Liam (Trae AI)</w:t>
            </w:r>
          </w:p>
        </w:tc>
        <w:tc>
          <w:tcPr>
            <w:tcW w:type="dxa" w:w="2160"/>
          </w:tcPr>
          <w:p>
            <w:r>
              <w:t>初始版本创建 (Initial Draft)</w:t>
            </w:r>
          </w:p>
        </w:tc>
      </w:tr>
    </w:tbl>
    <w:p>
      <w:pPr>
        <w:pStyle w:val="Heading1"/>
      </w:pPr>
      <w:r>
        <w:t>风险列表 (Risk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风险点 (Risk)</w:t>
            </w:r>
          </w:p>
        </w:tc>
        <w:tc>
          <w:tcPr>
            <w:tcW w:type="dxa" w:w="2880"/>
          </w:tcPr>
          <w:p>
            <w:r>
              <w:t>影响 (Impact)</w:t>
            </w:r>
          </w:p>
        </w:tc>
        <w:tc>
          <w:tcPr>
            <w:tcW w:type="dxa" w:w="2880"/>
          </w:tcPr>
          <w:p>
            <w:r>
              <w:t>对策 (Mitigation)</w:t>
            </w:r>
          </w:p>
        </w:tc>
      </w:tr>
      <w:tr>
        <w:tc>
          <w:tcPr>
            <w:tcW w:type="dxa" w:w="2880"/>
          </w:tcPr>
          <w:p>
            <w:r>
              <w:t>网络延迟</w:t>
            </w:r>
          </w:p>
        </w:tc>
        <w:tc>
          <w:tcPr>
            <w:tcW w:type="dxa" w:w="2880"/>
          </w:tcPr>
          <w:p>
            <w:r>
              <w:t>价格数据更新滞后，影响交易决策</w:t>
            </w:r>
          </w:p>
        </w:tc>
        <w:tc>
          <w:tcPr>
            <w:tcW w:type="dxa" w:w="2880"/>
          </w:tcPr>
          <w:p>
            <w:r>
              <w:t>前端显示最后更新时间，过期数据置灰提示</w:t>
            </w:r>
          </w:p>
        </w:tc>
      </w:tr>
      <w:tr>
        <w:tc>
          <w:tcPr>
            <w:tcW w:type="dxa" w:w="2880"/>
          </w:tcPr>
          <w:p>
            <w:r>
              <w:t>预测偏差</w:t>
            </w:r>
          </w:p>
        </w:tc>
        <w:tc>
          <w:tcPr>
            <w:tcW w:type="dxa" w:w="2880"/>
          </w:tcPr>
          <w:p>
            <w:r>
              <w:t>基于预测的套利信号导致亏损</w:t>
            </w:r>
          </w:p>
        </w:tc>
        <w:tc>
          <w:tcPr>
            <w:tcW w:type="dxa" w:w="2880"/>
          </w:tcPr>
          <w:p>
            <w:r>
              <w:t>提供"Signal by Spot"作为保守选项，并展示历史预测准确率</w:t>
            </w:r>
          </w:p>
        </w:tc>
      </w:tr>
    </w:tbl>
    <w:p>
      <w:pPr>
        <w:pStyle w:val="Heading1"/>
      </w:pPr>
      <w:r>
        <w:t>术语表 (Glossary)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 (Term)</w:t>
            </w:r>
          </w:p>
        </w:tc>
        <w:tc>
          <w:tcPr>
            <w:tcW w:type="dxa" w:w="4320"/>
          </w:tcPr>
          <w:p>
            <w:r>
              <w:t>解释 (Definition)</w:t>
            </w:r>
          </w:p>
        </w:tc>
      </w:tr>
      <w:tr>
        <w:tc>
          <w:tcPr>
            <w:tcW w:type="dxa" w:w="4320"/>
          </w:tcPr>
          <w:p>
            <w:r>
              <w:t>Spot Market</w:t>
            </w:r>
          </w:p>
        </w:tc>
        <w:tc>
          <w:tcPr>
            <w:tcW w:type="dxa" w:w="4320"/>
          </w:tcPr>
          <w:p>
            <w:r>
              <w:t>现货市场，电力实时交易的市场。</w:t>
            </w:r>
          </w:p>
        </w:tc>
      </w:tr>
      <w:tr>
        <w:tc>
          <w:tcPr>
            <w:tcW w:type="dxa" w:w="4320"/>
          </w:tcPr>
          <w:p>
            <w:r>
              <w:t>VPP</w:t>
            </w:r>
          </w:p>
        </w:tc>
        <w:tc>
          <w:tcPr>
            <w:tcW w:type="dxa" w:w="4320"/>
          </w:tcPr>
          <w:p>
            <w:r>
              <w:t>Virtual Power Plant，虚拟电厂。</w:t>
            </w:r>
          </w:p>
        </w:tc>
      </w:tr>
      <w:tr>
        <w:tc>
          <w:tcPr>
            <w:tcW w:type="dxa" w:w="4320"/>
          </w:tcPr>
          <w:p>
            <w:r>
              <w:t>NEM</w:t>
            </w:r>
          </w:p>
        </w:tc>
        <w:tc>
          <w:tcPr>
            <w:tcW w:type="dxa" w:w="4320"/>
          </w:tcPr>
          <w:p>
            <w:r>
              <w:t>National Electricity Market，澳洲国家电力市场。</w:t>
            </w:r>
          </w:p>
        </w:tc>
      </w:tr>
      <w:tr>
        <w:tc>
          <w:tcPr>
            <w:tcW w:type="dxa" w:w="4320"/>
          </w:tcPr>
          <w:p>
            <w:r>
              <w:t>FCAS</w:t>
            </w:r>
          </w:p>
        </w:tc>
        <w:tc>
          <w:tcPr>
            <w:tcW w:type="dxa" w:w="4320"/>
          </w:tcPr>
          <w:p>
            <w:r>
              <w:t>Frequency Control Ancillary Services，频率控制辅助服务。</w:t>
            </w:r>
          </w:p>
        </w:tc>
      </w:tr>
    </w:tbl>
    <w:p>
      <w:pPr>
        <w:pStyle w:val="Heading1"/>
      </w:pPr>
      <w:r>
        <w:t>1. 产品概述 (Product Overview)</w:t>
      </w:r>
    </w:p>
    <w:p>
      <w:r>
        <w:t>Spot Market (现货市场) 模块是虚拟电厂（VPP）参与电力市场交易的核心指挥中心。该模块提供实时的市场价格监控、自动化的交易规则配置、套利机会分析以及交易事件的追踪功能。旨在帮助运营人员最大化电力资产的经济效益，通过智能化的策略在价格高点放电、低点充电，并参与辅助服务市场。</w:t>
      </w:r>
    </w:p>
    <w:p>
      <w:pPr>
        <w:pStyle w:val="Heading1"/>
      </w:pPr>
      <w:r>
        <w:t>2. 用户故事 (User Stories)</w:t>
      </w:r>
    </w:p>
    <w:p>
      <w:pPr>
        <w:pStyle w:val="ListBullet"/>
      </w:pPr>
      <w:r>
        <w:t>作为交易员，我希望能够实时监控各区域（NSW, VIC, QLD, SA, TAS）的现货价格和预调度价格，以便快速做出手动调度决策。</w:t>
      </w:r>
    </w:p>
    <w:p>
      <w:pPr>
        <w:pStyle w:val="ListBullet"/>
      </w:pPr>
      <w:r>
        <w:t>作为策略分析师，我希望能够配置自动化的交易规则（例如：当价格低于 $0/MWh 时充电，高于 $300/MWh 时放电），以实现 24/7 的无人值守交易。</w:t>
      </w:r>
    </w:p>
    <w:p>
      <w:pPr>
        <w:pStyle w:val="ListBullet"/>
      </w:pPr>
      <w:r>
        <w:t>作为资产管理者，我希望能查看历史的套利点（Arbitrage Points）和预测准确性，以评估算法模型的有效性。</w:t>
      </w:r>
    </w:p>
    <w:p>
      <w:pPr>
        <w:pStyle w:val="ListBullet"/>
      </w:pPr>
      <w:r>
        <w:t>作为合规专员，我需要查看所有的交易事件日志（Trading Events），包括触发原因、执行时间、功率和成交量，以满足审计要求。</w:t>
      </w:r>
    </w:p>
    <w:p>
      <w:pPr>
        <w:pStyle w:val="Heading1"/>
      </w:pPr>
      <w:r>
        <w:t>3. 功能规格说明 (Functional Specifications)</w:t>
      </w:r>
    </w:p>
    <w:p>
      <w:pPr>
        <w:pStyle w:val="Heading2"/>
      </w:pPr>
      <w:r>
        <w:t>3.1 现货价格监控 (Spot Price)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全局逻辑</w:t>
            </w:r>
          </w:p>
        </w:tc>
      </w:tr>
      <w:tr>
        <w:tc>
          <w:tcPr>
            <w:tcW w:type="dxa" w:w="2160"/>
          </w:tcPr>
          <w:p>
            <w:r>
              <w:t>3.1.1 市场状态看板</w:t>
            </w:r>
          </w:p>
        </w:tc>
        <w:tc>
          <w:tcPr>
            <w:tcW w:type="dxa" w:w="2160"/>
          </w:tcPr>
          <w:p>
            <w:r>
              <w:t>展示核心市场数据和交易绩效</w:t>
            </w:r>
          </w:p>
        </w:tc>
        <w:tc>
          <w:tcPr>
            <w:tcW w:type="dxa" w:w="2160"/>
          </w:tcPr>
          <w:p>
            <w:r>
              <w:t>1. 区域选择: 下拉选择 (NSW, VIC, QLD, SA, TAS)</w:t>
              <w:br/>
              <w:t>2. 核心指标: Spot Price, Pre-Dispatch, Forecast Spot, Available Charge/Discharge</w:t>
              <w:br/>
              <w:t>3. 交易绩效: Opportunities count, Est. Revenue</w:t>
            </w:r>
          </w:p>
        </w:tc>
        <w:tc>
          <w:tcPr>
            <w:tcW w:type="dxa" w:w="2160"/>
          </w:tcPr>
          <w:p>
            <w:r>
              <w:t>默认选中 NSW。数据每 5 分钟刷新。</w:t>
            </w:r>
          </w:p>
        </w:tc>
      </w:tr>
      <w:tr>
        <w:tc>
          <w:tcPr>
            <w:tcW w:type="dxa" w:w="2160"/>
          </w:tcPr>
          <w:p>
            <w:r>
              <w:t>3.1.2 价格趋势图表</w:t>
            </w:r>
          </w:p>
        </w:tc>
        <w:tc>
          <w:tcPr>
            <w:tcW w:type="dxa" w:w="2160"/>
          </w:tcPr>
          <w:p>
            <w:r>
              <w:t>可视化价格走势</w:t>
            </w:r>
          </w:p>
        </w:tc>
        <w:tc>
          <w:tcPr>
            <w:tcW w:type="dxa" w:w="2160"/>
          </w:tcPr>
          <w:p>
            <w:r>
              <w:t>1. 时间维度: Real-time (24h+Forecast), Historical (Select Date)</w:t>
              <w:br/>
              <w:t>2. 图表层: Spot Price, Dispatch Price, Forecast Price</w:t>
              <w:br/>
              <w:t>3. 设置: Weather Overlay, Arbitrage Points (Signal by Forecast/Spot)</w:t>
            </w:r>
          </w:p>
        </w:tc>
        <w:tc>
          <w:tcPr>
            <w:tcW w:type="dxa" w:w="2160"/>
          </w:tcPr>
          <w:p>
            <w:r>
              <w:t>Duck Curve 模拟数据。断网时置灰。</w:t>
            </w:r>
          </w:p>
        </w:tc>
      </w:tr>
    </w:tbl>
    <w:p>
      <w:pPr>
        <w:pStyle w:val="Heading2"/>
      </w:pPr>
      <w:r>
        <w:t>3.2 现货交易管理 (Spot Trading)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全局逻辑</w:t>
            </w:r>
          </w:p>
        </w:tc>
      </w:tr>
      <w:tr>
        <w:tc>
          <w:tcPr>
            <w:tcW w:type="dxa" w:w="2160"/>
          </w:tcPr>
          <w:p>
            <w:r>
              <w:t>3.2.1 交易规则</w:t>
            </w:r>
          </w:p>
        </w:tc>
        <w:tc>
          <w:tcPr>
            <w:tcW w:type="dxa" w:w="2160"/>
          </w:tcPr>
          <w:p>
            <w:r>
              <w:t>配置自动化策略</w:t>
            </w:r>
          </w:p>
        </w:tc>
        <w:tc>
          <w:tcPr>
            <w:tcW w:type="dxa" w:w="2160"/>
          </w:tcPr>
          <w:p>
            <w:r>
              <w:t>1. 筛选: State, Trigger Type, Search VPP</w:t>
              <w:br/>
              <w:t>2. 列表: Rule ID, VPP Name, State, Trigger From, Details, Action</w:t>
              <w:br/>
              <w:t>3. Drawer: Set Trigger (Price/Arbitrage), Thresholds, Applicable VPPs, Ignore Time</w:t>
            </w:r>
          </w:p>
        </w:tc>
        <w:tc>
          <w:tcPr>
            <w:tcW w:type="dxa" w:w="2160"/>
          </w:tcPr>
          <w:p>
            <w:r>
              <w:t>同一 VPP 命中多规则时需处理冲突（后端逻辑）。</w:t>
            </w:r>
          </w:p>
        </w:tc>
      </w:tr>
      <w:tr>
        <w:tc>
          <w:tcPr>
            <w:tcW w:type="dxa" w:w="2160"/>
          </w:tcPr>
          <w:p>
            <w:r>
              <w:t>3.2.2 交易事件</w:t>
            </w:r>
          </w:p>
        </w:tc>
        <w:tc>
          <w:tcPr>
            <w:tcW w:type="dxa" w:w="2160"/>
          </w:tcPr>
          <w:p>
            <w:r>
              <w:t>追踪交易执行记录</w:t>
            </w:r>
          </w:p>
        </w:tc>
        <w:tc>
          <w:tcPr>
            <w:tcW w:type="dxa" w:w="2160"/>
          </w:tcPr>
          <w:p>
            <w:r>
              <w:t>1. 列表: Date, VPP, State, Trigger From, Action, Time, Power, Volume, Spot Price, Status</w:t>
              <w:br/>
              <w:t>2. 分页: 10/20/50/100 items per page</w:t>
            </w:r>
          </w:p>
        </w:tc>
        <w:tc>
          <w:tcPr>
            <w:tcW w:type="dxa" w:w="2160"/>
          </w:tcPr>
          <w:p>
            <w:r>
              <w:t>记录所有自动触发和手动执行的事件。</w:t>
            </w:r>
          </w:p>
        </w:tc>
      </w:tr>
    </w:tbl>
    <w:p>
      <w:pPr>
        <w:pStyle w:val="Heading2"/>
      </w:pPr>
      <w:r>
        <w:t>3.3 套利点分析 (Arbitrage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全局逻辑</w:t>
            </w:r>
          </w:p>
        </w:tc>
      </w:tr>
      <w:tr>
        <w:tc>
          <w:tcPr>
            <w:tcW w:type="dxa" w:w="2160"/>
          </w:tcPr>
          <w:p>
            <w:r>
              <w:t>3.3.1 信号概览</w:t>
            </w:r>
          </w:p>
        </w:tc>
        <w:tc>
          <w:tcPr>
            <w:tcW w:type="dxa" w:w="2160"/>
          </w:tcPr>
          <w:p>
            <w:r>
              <w:t>快速筛选信号</w:t>
            </w:r>
          </w:p>
        </w:tc>
        <w:tc>
          <w:tcPr>
            <w:tcW w:type="dxa" w:w="2160"/>
          </w:tcPr>
          <w:p>
            <w:r>
              <w:t>1. 筛选卡片: Discharge (Green), Charge (Blue), Normal, FCAS, Abnormal</w:t>
              <w:br/>
              <w:t>2. 时间控制: Real-time / Historical</w:t>
            </w:r>
          </w:p>
        </w:tc>
        <w:tc>
          <w:tcPr>
            <w:tcW w:type="dxa" w:w="2160"/>
          </w:tcPr>
          <w:p>
            <w:r>
              <w:t>统计各状态的信号数量。</w:t>
            </w:r>
          </w:p>
        </w:tc>
      </w:tr>
      <w:tr>
        <w:tc>
          <w:tcPr>
            <w:tcW w:type="dxa" w:w="2160"/>
          </w:tcPr>
          <w:p>
            <w:r>
              <w:t>3.3.2 套利明细表</w:t>
            </w:r>
          </w:p>
        </w:tc>
        <w:tc>
          <w:tcPr>
            <w:tcW w:type="dxa" w:w="2160"/>
          </w:tcPr>
          <w:p>
            <w:r>
              <w:t>详细信号数据</w:t>
            </w:r>
          </w:p>
        </w:tc>
        <w:tc>
          <w:tcPr>
            <w:tcW w:type="dxa" w:w="2160"/>
          </w:tcPr>
          <w:p>
            <w:r>
              <w:t>1. 字段: Time (5min), Spot Price, Forecast Spot, Forecast Bars (Mini-chart), Signal by Forecast, Signal by Spot</w:t>
            </w:r>
          </w:p>
        </w:tc>
        <w:tc>
          <w:tcPr>
            <w:tcW w:type="dxa" w:w="2160"/>
          </w:tcPr>
          <w:p>
            <w:r>
              <w:t>列表支持单日 288 个点的高性能渲染。</w:t>
            </w:r>
          </w:p>
        </w:tc>
      </w:tr>
    </w:tbl>
    <w:p>
      <w:pPr>
        <w:pStyle w:val="Heading1"/>
      </w:pPr>
      <w:r>
        <w:t>4. 界面交互流程 (UI/UX Flow)</w:t>
      </w:r>
    </w:p>
    <w:p>
      <w:r>
        <w:t>1. 监控市场: 用户进入 "Spot Price"，选择区域，观察价格走势。若发现价格飙升，进入 "Spot Trading" 查看是否有规则触发。</w:t>
      </w:r>
    </w:p>
    <w:p>
      <w:r>
        <w:t>2. 配置策略: 用户在 "Trading Rules" 中点击 "Create Rule"，设置 "当 NSW 价格 &gt; $500 时全力放电"，选择关联的 VPP，保存规则。</w:t>
      </w:r>
    </w:p>
    <w:p>
      <w:r>
        <w:t>3. 验证执行: 规则激活后，用户切换到 "Trading Events" 标签，等待并确认系统是否在价格满足条件时自动生成了 "Discharge" 事件。</w:t>
      </w:r>
    </w:p>
    <w:p>
      <w:r>
        <w:t>4. 复盘分析: 次日，用户进入 "Arbitrage Points"，选择 "Historical" 查看昨日数据，对比 "Signal By Forecast" 和 "Signal By Spot" 的一致性。</w:t>
      </w:r>
    </w:p>
    <w:p>
      <w:pPr>
        <w:pStyle w:val="Heading1"/>
      </w:pPr>
      <w:r>
        <w:t>5. 数据逻辑 (Data Logic)</w:t>
      </w:r>
    </w:p>
    <w:p>
      <w:pPr>
        <w:pStyle w:val="ListBullet"/>
      </w:pPr>
      <w:r>
        <w:t>价格数据: 模拟澳洲 NEM 市场价格曲线（Duck Curve 特征），包含早晚高峰和中午低谷。</w:t>
      </w:r>
    </w:p>
    <w:p>
      <w:pPr>
        <w:pStyle w:val="ListBullet"/>
      </w:pPr>
      <w:r>
        <w:t>信号生成:</w:t>
        <w:br/>
        <w:t>- Charge: 价格 &lt; 阈值A (e.g., $0) 或 时间在 11:00-14:00 (光伏高峰)。</w:t>
        <w:br/>
        <w:t>- Discharge: 价格 &gt; 阈值B (e.g., $300) 或 时间在 18:00-21:00 (晚高峰)。</w:t>
      </w:r>
    </w:p>
    <w:p>
      <w:pPr>
        <w:pStyle w:val="ListBullet"/>
      </w:pPr>
      <w:r>
        <w:t>聚合计算:</w:t>
        <w:br/>
        <w:t>- Available Discharge = Sum(Battery SOC * Capacity)。</w:t>
        <w:br/>
        <w:t>- Est. Revenue = Sum(Event Volume * Spot Price)。</w:t>
      </w:r>
    </w:p>
    <w:p>
      <w:pPr>
        <w:pStyle w:val="Heading1"/>
      </w:pPr>
      <w:r>
        <w:t>6. 异常处理机制 (Exception Handling)</w:t>
      </w:r>
    </w:p>
    <w:p>
      <w:pPr>
        <w:pStyle w:val="ListBullet"/>
      </w:pPr>
      <w:r>
        <w:t>网络断连: 价格数据无法更新时，显示 "Last updated: [Time]" 并置灰图表。</w:t>
      </w:r>
    </w:p>
    <w:p>
      <w:pPr>
        <w:pStyle w:val="ListBullet"/>
      </w:pPr>
      <w:r>
        <w:t>规则冲突: 若同一 VPP 命中多条规则，优先执行保护性规则或最新创建的规则。</w:t>
      </w:r>
    </w:p>
    <w:p>
      <w:pPr>
        <w:pStyle w:val="ListBullet"/>
      </w:pPr>
      <w:r>
        <w:t>无数据: 新建 VPP 或新区域无历史数据时，显示 Empty State。</w:t>
      </w:r>
    </w:p>
    <w:p>
      <w:pPr>
        <w:pStyle w:val="Heading1"/>
      </w:pPr>
      <w:r>
        <w:t>7. 性能指标要求 (Performance Requirements)</w:t>
      </w:r>
    </w:p>
    <w:p>
      <w:pPr>
        <w:pStyle w:val="ListBullet"/>
      </w:pPr>
      <w:r>
        <w:t>图表渲染: ECharts 图表加载时间 &lt; 800ms，拖拽缩放帧率 &gt; 30fps。</w:t>
      </w:r>
    </w:p>
    <w:p>
      <w:pPr>
        <w:pStyle w:val="ListBullet"/>
      </w:pPr>
      <w:r>
        <w:t>实时性: 现货价格数据每 5 分钟自动刷新一次。</w:t>
      </w:r>
    </w:p>
    <w:p>
      <w:pPr>
        <w:pStyle w:val="ListBullet"/>
      </w:pPr>
      <w:r>
        <w:t>列表性能: "Arbitrage Points" 列表需支持单日 288 个点（5分钟间隔）的流畅渲染。</w:t>
      </w:r>
    </w:p>
    <w:p>
      <w:pPr>
        <w:pStyle w:val="Heading1"/>
      </w:pPr>
      <w:r>
        <w:t>8. 安全规范 (Security Specifications)</w:t>
      </w:r>
    </w:p>
    <w:p>
      <w:pPr>
        <w:pStyle w:val="ListBullet"/>
      </w:pPr>
      <w:r>
        <w:t>操作审计: 所有的规则创建、修改、删除操作均需记录操作人 IP 和时间。</w:t>
      </w:r>
    </w:p>
    <w:p>
      <w:pPr>
        <w:pStyle w:val="ListBullet"/>
      </w:pPr>
      <w:r>
        <w:t>权限隔离: 普通用户只能查看 Trading Events，只有管理员可修改 Trading Rules。</w:t>
      </w:r>
    </w:p>
    <w:p>
      <w:pPr>
        <w:pStyle w:val="Heading1"/>
      </w:pPr>
      <w:r>
        <w:t>9. 兼容性要求 (Compatibility)</w:t>
      </w:r>
    </w:p>
    <w:p>
      <w:pPr>
        <w:pStyle w:val="ListBullet"/>
      </w:pPr>
      <w:r>
        <w:t>分辨率: 适配 1366x768 及以上分辨率。</w:t>
      </w:r>
    </w:p>
    <w:p>
      <w:pPr>
        <w:pStyle w:val="ListBullet"/>
      </w:pPr>
      <w:r>
        <w:t>浏览器: Chrome 90+, Edge 90+, Safari 14+, Firefox 88+。</w:t>
      </w:r>
    </w:p>
    <w:p>
      <w:pPr>
        <w:pStyle w:val="Heading1"/>
      </w:pPr>
      <w:r>
        <w:t>10. 验收标准 (Acceptance Criteria)</w:t>
      </w:r>
    </w:p>
    <w:p>
      <w:pPr>
        <w:pStyle w:val="ListBullet"/>
      </w:pPr>
      <w:r>
        <w:t>价格监控: 切换区域时，顶部看板数据和下方图表应同步更新为该区域数据。</w:t>
      </w:r>
    </w:p>
    <w:p>
      <w:pPr>
        <w:pStyle w:val="ListBullet"/>
      </w:pPr>
      <w:r>
        <w:t>规则执行: 创建一条规则后，在 'Trading Rules' 列表中应立即可见，且状态默认为 Active。</w:t>
      </w:r>
    </w:p>
    <w:p>
      <w:pPr>
        <w:pStyle w:val="ListBullet"/>
      </w:pPr>
      <w:r>
        <w:t>事件记录: 模拟触发一个事件，'Trading Events' 列表应新增一条记录，且状态流转正确。</w:t>
      </w:r>
    </w:p>
    <w:p>
      <w:pPr>
        <w:pStyle w:val="ListBullet"/>
      </w:pPr>
      <w:r>
        <w:t>套利分析: 'Arbitrage Points' 列表中的迷你图表（Forecast Bars）应正确渲染。</w:t>
      </w:r>
    </w:p>
    <w:p>
      <w:pPr>
        <w:pStyle w:val="Heading1"/>
      </w:pPr>
      <w:r>
        <w:t>附录 (Appendix)</w:t>
      </w:r>
    </w:p>
    <w:p>
      <w:pPr>
        <w:pStyle w:val="Heading2"/>
      </w:pPr>
      <w:r>
        <w:t>引用文档 (References)</w:t>
      </w:r>
    </w:p>
    <w:p>
      <w:r>
        <w:t>1. AEMO Market Data APIs Documentation</w:t>
      </w:r>
    </w:p>
    <w:p>
      <w:r>
        <w:t>2. Manta VPP System Architecture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