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/>
        <w:jc w:val="center"/>
      </w:pPr>
      <w:r>
        <w:t xml:space="preserve">现货市场产品需求文档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业务背景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Spot Market (现货市场) 模块是虚拟电厂（VPP）参与电力市场交易的核心指挥中心。该模块提供实时的市场价格监控、自动化的交易规则配置、套利机会分析以及交易事件的追踪功能。旨在帮助运营人员最大化电力资产的经济效益，通过智能化的策略在价格高点放电、低点充电，并参与辅助服务市场。</w:t>
      </w:r>
    </w:p>
    <w:p>
      <w:pPr>
        <w:pStyle w:val="Heading1"/>
      </w:pPr>
      <w:r>
        <w:t xml:space="preserve">2. 目标用户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2"/>
              <w:left w:val="single" w:color="CCCCCC" w:sz="4"/>
              <w:bottom w:val="single" w:color="CCCCCC" w:sz="4"/>
              <w:right w:val="single" w:color="CCCCCC" w:sz="4"/>
            </w:tcBorders>
            <w:shd w:fill="D5E8F0" w:color="auto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pct" w:w="50%"/>
            <w:tcBorders>
              <w:top w:val="single" w:color="CCCCCC" w:sz="12"/>
              <w:left w:val="single" w:color="CCCCCC" w:sz="4"/>
              <w:bottom w:val="single" w:color="CCCCCC" w:sz="4"/>
              <w:right w:val="single" w:color="CCCCCC" w:sz="4"/>
            </w:tcBorders>
            <w:shd w:fill="D5E8F0" w:color="auto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用户故事 (需求描述)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交易员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实时监控各区域（NSW, VIC, QLD, SA, TAS）的现货价格和预调度价格，以便快速做出手动调度决策。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策略分析师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配置自动化的交易规则（例如：当价格低于 $0/MWh 时充电，高于 $300/MWh 时放电），以实现 24/7 的无人值守交易。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资产管理者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查看历史的套利点（Arbitrage Points）和预测准确性，以评估算法模型的有效性。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合规专员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查看所有的交易事件日志（Trading Events），包括触发原因、执行时间、功率和成交量，以满足审计要求。</w:t>
            </w:r>
          </w:p>
        </w:tc>
      </w:tr>
    </w:tbl>
    <w:p>
      <w:pPr>
        <w:pStyle w:val="Heading1"/>
      </w:pPr>
      <w:r>
        <w:t xml:space="preserve">3. 核心场景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以下为本模块的核心业务交互流程：</w:t>
      </w:r>
    </w:p>
    <w:p>
      <w:pPr>
        <w:pStyle w:val="ListParagraph"/>
        <w:numPr>
          <w:ilvl w:val="0"/>
          <w:numId w:val="2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监控市场: 用户进入 "Spot Price"，选择区域，观察价格走势。若发现价格飙升，进入 "Spot Trading" 查看是否有规则触发。</w:t>
      </w:r>
    </w:p>
    <w:p>
      <w:pPr>
        <w:pStyle w:val="ListParagraph"/>
        <w:numPr>
          <w:ilvl w:val="0"/>
          <w:numId w:val="2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配置策略: 用户在 "Trading Rules" 中点击 "Create Rule"，设置 "当 NSW 价格 &gt; $500 时全力放电"，选择关联的 VPP，保存规则。</w:t>
      </w:r>
    </w:p>
    <w:p>
      <w:pPr>
        <w:pStyle w:val="ListParagraph"/>
        <w:numPr>
          <w:ilvl w:val="0"/>
          <w:numId w:val="2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验证执行: 规则激活后，用户切换到 "Trading Events" 标签，等待并确认系统是否在价格满足条件时自动生成了 "Discharge" 事件。</w:t>
      </w:r>
    </w:p>
    <w:p>
      <w:pPr>
        <w:pStyle w:val="ListParagraph"/>
        <w:numPr>
          <w:ilvl w:val="0"/>
          <w:numId w:val="2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复盘分析: 次日，用户进入 "Arbitrage Points"，选择 "Historical" 查看昨日数据，对比 "Signal By Forecast" 和 "Signal By Spot" 的一致性，以优化预测模型。</w:t>
      </w:r>
    </w:p>
    <w:p>
      <w:pPr>
        <w:pStyle w:val="Heading1"/>
      </w:pPr>
      <w:r>
        <w:t xml:space="preserve">4. 功能范围</w:t>
      </w:r>
    </w:p>
    <w:p>
      <w:pPr>
        <w:pStyle w:val="Heading2"/>
      </w:pPr>
      <w:r>
        <w:t xml:space="preserve">4.1 现货价格监控 (Spot Price)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入口: 点击侧边栏 "Spot Market" -&gt; "Spot Price"。</w:t>
      </w:r>
    </w:p>
    <w:p>
      <w:pPr>
        <w:pStyle w:val="Heading3"/>
      </w:pPr>
      <w:r>
        <w:t xml:space="preserve">4.1.1 市场状态看板 (Market Status)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区域选择: 下拉选择定价区域 (NSW, VIC, QLD, SA, TAS)。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核心指标: Spot Price, Pre-Dispatch, Forecast Spot, Available Discharge, Available Charge。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交易绩效: Trading Opportunities, Est. Revenue。</w:t>
      </w:r>
    </w:p>
    <w:p>
      <w:pPr>
        <w:pStyle w:val="Heading3"/>
      </w:pPr>
      <w:r>
        <w:t xml:space="preserve">4.1.2 价格趋势图表 (Price Chart)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时间维度: Real-time (24h + forecast), Historical (特定日期)。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图表内容: Spot Price, Dispatch Price, Forecast Price。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图表设置: Weather (天气叠加), Arbitrage Point (信号点叠加)。</w:t>
      </w:r>
    </w:p>
    <w:p>
      <w:pPr>
        <w:pStyle w:val="Heading2"/>
      </w:pPr>
      <w:r>
        <w:t xml:space="preserve">4.2 现货交易管理 (Spot Trading)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入口: 点击侧边栏 "Spot Market" -&gt; "Spot Trading"。</w:t>
      </w:r>
    </w:p>
    <w:p>
      <w:pPr>
        <w:pStyle w:val="Heading3"/>
      </w:pPr>
      <w:r>
        <w:t xml:space="preserve">4.2.1 交易规则 (Trading Rules)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筛选栏: State, Trigger Type, Search, Create Rule。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规则列表: Rule ID, VPP Name, State, Trigger From, Details, Action。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新建/编辑规则抽屉: State, Trigger Type, Condition, Action, Applicable VPPs, Ignore Time。</w:t>
      </w:r>
    </w:p>
    <w:p>
      <w:pPr>
        <w:pStyle w:val="Heading3"/>
      </w:pPr>
      <w:r>
        <w:t xml:space="preserve">4.2.2 交易事件 (Trading Events)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列表字段: Date, VPP, State, Trigger From, Action, Start/End Time, Rated Power, Volume, Spot, Status。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分页: 支持每页 10/20/50/100 条数据。</w:t>
      </w:r>
    </w:p>
    <w:p>
      <w:pPr>
        <w:pStyle w:val="Heading2"/>
      </w:pPr>
      <w:r>
        <w:t xml:space="preserve">4.3 套利点分析 (Arbitrage Points)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入口: 点击侧边栏 "Spot Market" -&gt; "Arbitrage Points"。</w:t>
      </w:r>
    </w:p>
    <w:p>
      <w:pPr>
        <w:pStyle w:val="Heading3"/>
      </w:pPr>
      <w:r>
        <w:t xml:space="preserve">4.3.1 信号概览与筛选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信号类型: Discharge, Normal, Charge, FCAS, Abnormal。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时间控制: Real-time / Historical。</w:t>
      </w:r>
    </w:p>
    <w:p>
      <w:pPr>
        <w:pStyle w:val="Heading3"/>
      </w:pPr>
      <w:r>
        <w:t xml:space="preserve">4.3.2 套利明细表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列表字段: Time, Spot ($/MW), Forecast Spot, Time / Forecast Spot (Bar Chart), Signal By Forecast, Signal By Spot。</w:t>
      </w:r>
    </w:p>
    <w:p>
      <w:pPr>
        <w:pStyle w:val="Heading1"/>
      </w:pPr>
      <w:r>
        <w:t xml:space="preserve">5. 数据要求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价格数据: 模拟澳洲 NEM 市场价格曲线（Duck Curve 特征）。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信号生成: Charge (&lt;阈值A 或 光伏高峰), Discharge (&gt;阈值B 或 晚高峰)。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Mock 数据: 支持 3 天范围内的历史回溯。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聚合计算: Available Discharge = Sum(Battery SOC * Capacity); Est. Revenue = Sum(Event Volume * Spot Price)。</w:t>
      </w:r>
    </w:p>
    <w:p>
      <w:pPr>
        <w:pStyle w:val="Heading1"/>
      </w:pPr>
      <w:r>
        <w:t xml:space="preserve">6. 异常流程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网络断连: 显示 "Last updated: [Time]" 并置灰图表。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规则冲突: 若同一 VPP 命中多条规则，优先执行保护性规则或最新创建的规则。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无数据: 显示 Empty State 占位符。</w:t>
      </w:r>
    </w:p>
    <w:p>
      <w:pPr>
        <w:pStyle w:val="Heading1"/>
      </w:pPr>
      <w:r>
        <w:t xml:space="preserve">7. 非功能需求</w:t>
      </w:r>
    </w:p>
    <w:p>
      <w:pPr>
        <w:pStyle w:val="Heading2"/>
      </w:pPr>
      <w:r>
        <w:t xml:space="preserve">7.1 性能指标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图表渲染: 加载时间 &lt; 800ms，帧率 &gt; 30fps。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实时性: 价格数据每 5 分钟刷新。</w:t>
      </w:r>
    </w:p>
    <w:p>
      <w:pPr>
        <w:pStyle w:val="Heading2"/>
      </w:pPr>
      <w:r>
        <w:t xml:space="preserve">7.2 安全规范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操作审计: 记录所有规则变更的操作人 IP 和时间。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权限隔离: 普通用户仅查看，管理员可修改规则。</w:t>
      </w:r>
    </w:p>
    <w:p>
      <w:pPr>
        <w:pStyle w:val="Heading2"/>
      </w:pPr>
      <w:r>
        <w:t xml:space="preserve">7.3 兼容性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分辨率: 适配 1366x768 及以上。</w:t>
      </w:r>
    </w:p>
    <w:p>
      <w:pPr>
        <w:pStyle w:val="ListParagraph"/>
        <w:numPr>
          <w:ilvl w:val="0"/>
          <w:numId w:val="3"/>
        </w:numPr>
        <w:spacing w:line="276"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浏览器: Chrome 90+, Edge 90+, Safari 14+, Firefox 88+。</w:t>
      </w:r>
    </w:p>
    <w:p>
      <w:pPr>
        <w:pStyle w:val="Heading1"/>
      </w:pPr>
      <w:r>
        <w:t xml:space="preserve">8. 验收标准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2"/>
              <w:left w:val="single" w:color="CCCCCC" w:sz="4"/>
              <w:bottom w:val="single" w:color="CCCCCC" w:sz="4"/>
              <w:right w:val="single" w:color="CCCCCC" w:sz="4"/>
            </w:tcBorders>
            <w:shd w:fill="D5E8F0" w:color="auto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2"/>
              <w:left w:val="single" w:color="CCCCCC" w:sz="4"/>
              <w:bottom w:val="single" w:color="CCCCCC" w:sz="4"/>
              <w:right w:val="single" w:color="CCCCCC" w:sz="4"/>
            </w:tcBorders>
            <w:shd w:fill="D5E8F0" w:color="auto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验收标准描述</w:t>
            </w:r>
          </w:p>
        </w:tc>
        <w:tc>
          <w:tcPr>
            <w:tcW w:type="pct" w:w="33.333333333333336%"/>
            <w:tcBorders>
              <w:top w:val="single" w:color="CCCCCC" w:sz="12"/>
              <w:left w:val="single" w:color="CCCCCC" w:sz="4"/>
              <w:bottom w:val="single" w:color="CCCCCC" w:sz="4"/>
              <w:right w:val="single" w:color="CCCCCC" w:sz="4"/>
            </w:tcBorders>
            <w:shd w:fill="D5E8F0" w:color="auto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AC-01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价格监控: 切换区域时，数据和图表同步更新为该区域数据。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AC-02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规则执行: 创建规则后，列表立即可见且默认为 Active。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AC-03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事件记录: 模拟触发事件后，列表新增记录且状态流转正确。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AC-04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套利分析: Forecast Bars 正确渲染，信号颜色与图例一致。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</w:tbl>
    <w:p>
      <w:pPr>
        <w:pStyle w:val="Heading1"/>
      </w:pPr>
      <w:r>
        <w:t xml:space="preserve">9. 运营计划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[待补充]</w:t>
      </w:r>
    </w:p>
    <w:p>
      <w:pPr>
        <w:pStyle w:val="Heading1"/>
      </w:pPr>
      <w:r>
        <w:t xml:space="preserve">10. 合规要求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[待补充]</w:t>
      </w:r>
    </w:p>
    <w:p>
      <w:pPr>
        <w:pStyle w:val="Heading1"/>
      </w:pPr>
      <w:r>
        <w:t xml:space="preserve">11. 附录</w:t>
      </w:r>
    </w:p>
    <w:p>
      <w:pPr>
        <w:spacing w:line="276" w:after="120"/>
        <w:ind w:firstLine="4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[待补充]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Spot Market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">
    <w:name w:val="Normal"/>
    <w:pPr>
      <w:spacing w:line="276" w:after="120"/>
    </w:pPr>
    <w:rPr>
      <w:rFonts w:ascii="Arial" w:cs="Arial" w:eastAsia="Arial" w:hAnsi="Arial"/>
      <w:color w:val="0000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现货市场产品需求文档</dc:title>
  <dc:creator>Manta Product Team</dc:creator>
  <dc:description>Spot Market Product Requirements Document</dc:description>
  <cp:lastModifiedBy>Un-named</cp:lastModifiedBy>
  <cp:revision>1</cp:revision>
  <dcterms:created xsi:type="dcterms:W3CDTF">2026-02-05T01:57:50.023Z</dcterms:created>
  <dcterms:modified xsi:type="dcterms:W3CDTF">2026-02-05T01:57:50.025Z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