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PV ESS Product Marketing Strategy &amp; Analysis</w:t>
      </w:r>
    </w:p>
    <w:p>
      <w:pPr>
        <w:spacing w:after="400"/>
        <w:jc w:val="center"/>
      </w:pPr>
      <w:r>
        <w:t xml:space="preserve">Manta VPP Management System</w:t>
      </w:r>
    </w:p>
    <w:p>
      <w:pPr>
        <w:pStyle w:val="Heading1"/>
      </w:pPr>
      <w:r>
        <w:t xml:space="preserve">1. Executive Summary</w:t>
      </w:r>
    </w:p>
    <w:p>
      <w:r>
        <w:t xml:space="preserve">The PV ESS (Photovoltaic Energy Storage System) module is the cornerstone of the Manta Virtual Power Plant (VPP) platform. It provides comprehensive real-time monitoring, asset management, and topological analysis for distributed energy storage devices. By aggregating fragmented battery resources into a unified, controllable virtual asset, PV ESS enables energy operators to maximize grid stability and trading revenue.</w:t>
      </w:r>
    </w:p>
    <w:p>
      <w:pPr>
        <w:pStyle w:val="Heading1"/>
      </w:pPr>
      <w:r>
        <w:t xml:space="preserve">2. Product Overview</w:t>
      </w:r>
    </w:p>
    <w:p>
      <w:r>
        <w:t xml:space="preserve">PV ESS serves as the central command center for battery assets. It connects individual household and commercial batteries to the grid operator's control room, offering granular visibility from the fleet level down to individual cells.</w:t>
      </w:r>
    </w:p>
    <w:p>
      <w:pPr>
        <w:pStyle w:val="Heading2"/>
      </w:pPr>
      <w:r>
        <w:t xml:space="preserve">Key Capabilities:</w:t>
      </w:r>
    </w:p>
    <w:p>
      <w:pPr>
        <w:pStyle w:val="ListParagraph"/>
        <w:numPr>
          <w:ilvl w:val="0"/>
          <w:numId w:val="1"/>
        </w:numPr>
      </w:pPr>
      <w:r>
        <w:t xml:space="preserve">• Fleet-wide Monitoring: Instant visibility into Online, Offline, and Disconnected assets.</w:t>
      </w:r>
    </w:p>
    <w:p>
      <w:pPr>
        <w:pStyle w:val="ListParagraph"/>
        <w:numPr>
          <w:ilvl w:val="0"/>
          <w:numId w:val="1"/>
        </w:numPr>
      </w:pPr>
      <w:r>
        <w:t xml:space="preserve">• Deep Diagnostics: Drill-down views with energy topology (PV, Battery, Inverter, Grid flow).</w:t>
      </w:r>
    </w:p>
    <w:p>
      <w:pPr>
        <w:pStyle w:val="ListParagraph"/>
        <w:numPr>
          <w:ilvl w:val="0"/>
          <w:numId w:val="1"/>
        </w:numPr>
      </w:pPr>
      <w:r>
        <w:t xml:space="preserve">• Smart Search: Rapid asset location via Serial Number (SN) or National Metering Identifier (NMI).</w:t>
      </w:r>
    </w:p>
    <w:p>
      <w:pPr>
        <w:pStyle w:val="ListParagraph"/>
        <w:numPr>
          <w:ilvl w:val="0"/>
          <w:numId w:val="1"/>
        </w:numPr>
      </w:pPr>
      <w:r>
        <w:t xml:space="preserve">• Capacity Aggregation: Real-time summation of Rated Power and Capacity for VPP trading.</w:t>
      </w:r>
    </w:p>
    <w:p>
      <w:pPr>
        <w:pStyle w:val="Heading1"/>
      </w:pPr>
      <w:r>
        <w:t xml:space="preserve">3. Market Analysis</w:t>
      </w:r>
    </w:p>
    <w:p>
      <w:pPr>
        <w:pStyle w:val="Heading2"/>
      </w:pPr>
      <w:r>
        <w:t xml:space="preserve">Target Audience:</w:t>
      </w:r>
    </w:p>
    <w:p>
      <w:r>
        <w:t xml:space="preserve">1. VPP Operators &amp; Aggregators: Need to manage thousands of distributed assets.</w:t>
      </w:r>
    </w:p>
    <w:p>
      <w:r>
        <w:t xml:space="preserve">2. Grid Service Providers: Need visibility into local grid stability and voltage support.</w:t>
      </w:r>
    </w:p>
    <w:p>
      <w:r>
        <w:t xml:space="preserve">3. Asset Managers: Responsible for O&amp;M and device health.</w:t>
      </w:r>
    </w:p>
    <w:p>
      <w:pPr>
        <w:pStyle w:val="Heading2"/>
      </w:pPr>
      <w:r>
        <w:t xml:space="preserve">User Personas: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pPr>
              <w:rPr>
                <w:b/>
                <w:bCs/>
              </w:rPr>
            </w:pPr>
            <w:r>
              <w:t xml:space="preserve">Role</w:t>
            </w:r>
          </w:p>
        </w:tc>
        <w:tc>
          <w:tcPr>
            <w:tcW w:type="pct" w:w="33.333333333333336%"/>
          </w:tcPr>
          <w:p>
            <w:pPr>
              <w:rPr>
                <w:b/>
                <w:bCs/>
              </w:rPr>
            </w:pPr>
            <w:r>
              <w:t xml:space="preserve">Pain Point</w:t>
            </w:r>
          </w:p>
        </w:tc>
        <w:tc>
          <w:tcPr>
            <w:tcW w:type="pct" w:w="33.333333333333336%"/>
          </w:tcPr>
          <w:p>
            <w:pPr>
              <w:rPr>
                <w:b/>
                <w:bCs/>
              </w:rPr>
            </w:pPr>
            <w:r>
              <w:t xml:space="preserve">PV ESS Solution</w:t>
            </w:r>
          </w:p>
        </w:tc>
      </w:tr>
      <w:tr>
        <w:tc>
          <w:tcPr>
            <w:tcW w:type="pct" w:w="33.333333333333336%"/>
          </w:tcPr>
          <w:p>
            <w:pPr>
              <w:rPr>
                <w:b w:val="false"/>
                <w:bCs w:val="false"/>
              </w:rPr>
            </w:pPr>
            <w:r>
              <w:t xml:space="preserve">Asset Manager</w:t>
            </w:r>
          </w:p>
        </w:tc>
        <w:tc>
          <w:tcPr>
            <w:tcW w:type="pct" w:w="33.333333333333336%"/>
          </w:tcPr>
          <w:p>
            <w:pPr>
              <w:rPr>
                <w:b w:val="false"/>
                <w:bCs w:val="false"/>
              </w:rPr>
            </w:pPr>
            <w:r>
              <w:t xml:space="preserve">Hard to track connection faults across thousands of devices.</w:t>
            </w:r>
          </w:p>
        </w:tc>
        <w:tc>
          <w:tcPr>
            <w:tcW w:type="pct" w:w="33.333333333333336%"/>
          </w:tcPr>
          <w:p>
            <w:pPr>
              <w:rPr>
                <w:b w:val="false"/>
                <w:bCs w:val="false"/>
              </w:rPr>
            </w:pPr>
            <w:r>
              <w:t xml:space="preserve">Real-time status dashboard with 'Disconnected' alerts.</w:t>
            </w:r>
          </w:p>
        </w:tc>
      </w:tr>
      <w:tr>
        <w:tc>
          <w:tcPr>
            <w:tcW w:type="pct" w:w="33.333333333333336%"/>
          </w:tcPr>
          <w:p>
            <w:pPr>
              <w:rPr>
                <w:b w:val="false"/>
                <w:bCs w:val="false"/>
              </w:rPr>
            </w:pPr>
            <w:r>
              <w:t xml:space="preserve">O&amp;M Engineer</w:t>
            </w:r>
          </w:p>
        </w:tc>
        <w:tc>
          <w:tcPr>
            <w:tcW w:type="pct" w:w="33.333333333333336%"/>
          </w:tcPr>
          <w:p>
            <w:pPr>
              <w:rPr>
                <w:b w:val="false"/>
                <w:bCs w:val="false"/>
              </w:rPr>
            </w:pPr>
            <w:r>
              <w:t xml:space="preserve">Diagnosing energy flow issues is complex without visualization.</w:t>
            </w:r>
          </w:p>
        </w:tc>
        <w:tc>
          <w:tcPr>
            <w:tcW w:type="pct" w:w="33.333333333333336%"/>
          </w:tcPr>
          <w:p>
            <w:pPr>
              <w:rPr>
                <w:b w:val="false"/>
                <w:bCs w:val="false"/>
              </w:rPr>
            </w:pPr>
            <w:r>
              <w:t xml:space="preserve">Visual Energy Topology showing real-time DC/AC flow.</w:t>
            </w:r>
          </w:p>
        </w:tc>
      </w:tr>
      <w:tr>
        <w:tc>
          <w:tcPr>
            <w:tcW w:type="pct" w:w="33.333333333333336%"/>
          </w:tcPr>
          <w:p>
            <w:pPr>
              <w:rPr>
                <w:b w:val="false"/>
                <w:bCs w:val="false"/>
              </w:rPr>
            </w:pPr>
            <w:r>
              <w:t xml:space="preserve">Energy Trader</w:t>
            </w:r>
          </w:p>
        </w:tc>
        <w:tc>
          <w:tcPr>
            <w:tcW w:type="pct" w:w="33.333333333333336%"/>
          </w:tcPr>
          <w:p>
            <w:pPr>
              <w:rPr>
                <w:b w:val="false"/>
                <w:bCs w:val="false"/>
              </w:rPr>
            </w:pPr>
            <w:r>
              <w:t xml:space="preserve">Lack of real-time capacity data for bidding.</w:t>
            </w:r>
          </w:p>
        </w:tc>
        <w:tc>
          <w:tcPr>
            <w:tcW w:type="pct" w:w="33.333333333333336%"/>
          </w:tcPr>
          <w:p>
            <w:pPr>
              <w:rPr>
                <w:b w:val="false"/>
                <w:bCs w:val="false"/>
              </w:rPr>
            </w:pPr>
            <w:r>
              <w:t xml:space="preserve">Aggregated Rated Power &amp; Capacity views by State/Region.</w:t>
            </w:r>
          </w:p>
        </w:tc>
      </w:tr>
    </w:tbl>
    <w:p>
      <w:pPr>
        <w:pStyle w:val="Heading1"/>
      </w:pPr>
      <w:r>
        <w:t xml:space="preserve">4. Competitive Advantage</w:t>
      </w:r>
    </w:p>
    <w:p>
      <w:r>
        <w:t xml:space="preserve">Unlike basic monitoring apps provided by hardware manufacturers (which only show their own devices), Manta PV ESS is vendor-agnostic and VPP-centric.</w:t>
      </w:r>
    </w:p>
    <w:p>
      <w:pPr>
        <w:pStyle w:val="ListParagraph"/>
        <w:numPr>
          <w:ilvl w:val="0"/>
          <w:numId w:val="1"/>
        </w:numPr>
      </w:pPr>
      <w:r>
        <w:t xml:space="preserve">• Vendor Agnostic: Unified view for Tesla, Sungrow, BYD, and more.</w:t>
      </w:r>
    </w:p>
    <w:p>
      <w:pPr>
        <w:pStyle w:val="ListParagraph"/>
        <w:numPr>
          <w:ilvl w:val="0"/>
          <w:numId w:val="1"/>
        </w:numPr>
      </w:pPr>
      <w:r>
        <w:t xml:space="preserve">• Topology Visualization: Not just numbers, but dynamic energy flow animation.</w:t>
      </w:r>
    </w:p>
    <w:p>
      <w:pPr>
        <w:pStyle w:val="ListParagraph"/>
        <w:numPr>
          <w:ilvl w:val="0"/>
          <w:numId w:val="1"/>
        </w:numPr>
      </w:pPr>
      <w:r>
        <w:t xml:space="preserve">• High Performance: Optimized for managing 10,000+ devices with sub-second rendering.</w:t>
      </w:r>
    </w:p>
    <w:p>
      <w:pPr>
        <w:pStyle w:val="Heading1"/>
      </w:pPr>
      <w:r>
        <w:t xml:space="preserve">5. Business Model &amp; ROI</w:t>
      </w:r>
    </w:p>
    <w:p>
      <w:pPr>
        <w:pStyle w:val="Heading2"/>
      </w:pPr>
      <w:r>
        <w:t xml:space="preserve">Pricing Strategy:</w:t>
      </w:r>
    </w:p>
    <w:p>
      <w:pPr>
        <w:pStyle w:val="ListParagraph"/>
        <w:numPr>
          <w:ilvl w:val="0"/>
          <w:numId w:val="1"/>
        </w:numPr>
      </w:pPr>
      <w:r>
        <w:t xml:space="preserve">• SaaS Subscription: Monthly fee per connected MW or per device.</w:t>
      </w:r>
    </w:p>
    <w:p>
      <w:pPr>
        <w:pStyle w:val="ListParagraph"/>
        <w:numPr>
          <w:ilvl w:val="0"/>
          <w:numId w:val="1"/>
        </w:numPr>
      </w:pPr>
      <w:r>
        <w:t xml:space="preserve">• VPP Revenue Share: Percentage of trading revenue generated through the platform.</w:t>
      </w:r>
    </w:p>
    <w:p>
      <w:pPr>
        <w:pStyle w:val="Heading2"/>
      </w:pPr>
      <w:r>
        <w:t xml:space="preserve">ROI Analysis:</w:t>
      </w:r>
    </w:p>
    <w:p>
      <w:pPr>
        <w:pStyle w:val="ListParagraph"/>
        <w:numPr>
          <w:ilvl w:val="0"/>
          <w:numId w:val="1"/>
        </w:numPr>
      </w:pPr>
      <w:r>
        <w:t xml:space="preserve">• Reduced O&amp;M Costs: Remote diagnosis reduces truck rolls by 30%.</w:t>
      </w:r>
    </w:p>
    <w:p>
      <w:pPr>
        <w:pStyle w:val="ListParagraph"/>
        <w:numPr>
          <w:ilvl w:val="0"/>
          <w:numId w:val="1"/>
        </w:numPr>
      </w:pPr>
      <w:r>
        <w:t xml:space="preserve">• Increased Trading Yield: Accurate SOC data improves bidding accuracy by 15%.</w:t>
      </w:r>
    </w:p>
    <w:p>
      <w:pPr>
        <w:pStyle w:val="Heading1"/>
      </w:pPr>
      <w:r>
        <w:t xml:space="preserve">6. Conclusion</w:t>
      </w:r>
    </w:p>
    <w:p>
      <w:r>
        <w:t xml:space="preserve">Manta PV ESS transforms passive battery assets into active, profitable grid resources. It is the essential tool for the modern smart grid.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276"/>
    </w:pPr>
    <w:rPr>
      <w:rFonts w:ascii="Calibri" w:cs="Calibri" w:eastAsia="Calibri" w:hAnsi="Calibri"/>
      <w:sz w:val="24"/>
      <w:szCs w:val="24"/>
    </w:rPr>
  </w:style>
  <w:style w:type="paragraph" w:styleId="Heading1">
    <w:name w:val="Heading 1"/>
    <w:pPr>
      <w:spacing w:before="240" w:after="120"/>
    </w:pPr>
    <w:rPr>
      <w:rFonts w:ascii="Calibri Light" w:cs="Calibri Light" w:eastAsia="Calibri Light" w:hAnsi="Calibri Light"/>
      <w:b/>
      <w:bCs/>
      <w:color w:val="2E74B5"/>
      <w:sz w:val="32"/>
      <w:szCs w:val="32"/>
    </w:rPr>
  </w:style>
  <w:style w:type="paragraph" w:styleId="Heading2">
    <w:name w:val="Heading 2"/>
    <w:pPr>
      <w:spacing w:before="240" w:after="120"/>
    </w:pPr>
    <w:rPr>
      <w:rFonts w:ascii="Calibri Light" w:cs="Calibri Light" w:eastAsia="Calibri Light" w:hAnsi="Calibri Light"/>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2026-02-04T19:42:33.450Z</dcterms:created>
  <dcterms:modified xsi:type="dcterms:W3CDTF">2026-02-04T19:42:33.451Z</dcterms:modified>
</cp:coreProperties>
</file>

<file path=docProps/custom.xml><?xml version="1.0" encoding="utf-8"?>
<Properties xmlns="http://schemas.openxmlformats.org/officeDocument/2006/custom-properties" xmlns:vt="http://schemas.openxmlformats.org/officeDocument/2006/docPropsVTypes"/>
</file>