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新一代股票量化交易平台功能详细设计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平台定位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本平台旨在整合当前主流量化平台的核心优势，解决行业现存的「云端 / 本地割裂、新手 / 专业需求无法兼顾、回测 / 实盘偏差大、合规风控缺失」等痛点，打造覆盖「入门学习 - 策略研发 - 回测验证 - 模拟仿真 - 实盘交易 - 合规风控」全链路的一站式量化交易平台，同时满足中小散户、进阶投资者、专业机构的分层需求。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功能详细设计总表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一级模块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二级子功能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功能详细描述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对比现有平台的核心优化点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一、平台基础架构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 + 本地双运行模式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支持两种运行模式无缝切换：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云端托管模式</w:t>
      </w:r>
      <w:r>
        <w:rPr>
          <w:rFonts w:eastAsia="等线" w:ascii="Arial" w:cs="Arial" w:hAnsi="Arial"/>
          <w:sz w:val="22"/>
        </w:rPr>
        <w:t>：策略部署于平台服务器，7×24 小时无人值守，无需本地电脑开机，适配上班族 / 新手用户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本地部署模式</w:t>
      </w:r>
      <w:r>
        <w:rPr>
          <w:rFonts w:eastAsia="等线" w:ascii="Arial" w:cs="Arial" w:hAnsi="Arial"/>
          <w:sz w:val="22"/>
        </w:rPr>
        <w:t>：策略全量本地运行，代码 / 数据不上传服务器，保障核心策略私密性，适配专业 / 高频用户</w:t>
        <w:br/>
        <w:t>两种模式下策略代码 100% 兼容，可无缝迁移 | 解决现有平台「要么只有云端（策略泄露风险、速度慢）、要么只有本地（需自行维护环境、门槛高）」的割裂问题，用户可根据需求自由切换，兼顾便捷性与安全性 |</w:t>
        <w:br/>
        <w:t>|| 全市场品种统一适配 | 统一支持 A 股、港股通、美股、商品期货、股指期货、期权、两融、可转债、北交所全品种交易，一套策略可适配跨市场跨品种场景 | 解决现有平台品种支持割裂的问题，无需切换平台即可完成跨市场套利、多资产配置策略 |</w:t>
        <w:br/>
        <w:t>|| 多终端同步 | 支持 Web 端、PC 客户端、移动端三端数据同步，随时随地查看策略运行状态、调整参数 | 弥补现有平台移动端功能缺失的短板，满足用户随时监控的需求 |</w:t>
        <w:br/>
      </w:r>
      <w:r>
        <w:rPr>
          <w:rFonts w:eastAsia="等线" w:ascii="Arial" w:cs="Arial" w:hAnsi="Arial"/>
          <w:sz w:val="22"/>
        </w:rPr>
        <w:t>|</w:t>
      </w:r>
      <w:r>
        <w:rPr>
          <w:rFonts w:eastAsia="等线" w:ascii="Arial" w:cs="Arial" w:hAnsi="Arial"/>
          <w:b w:val="true"/>
          <w:sz w:val="22"/>
        </w:rPr>
        <w:t>二、数据服务模块</w:t>
      </w:r>
      <w:r>
        <w:rPr>
          <w:rFonts w:eastAsia="等线" w:ascii="Arial" w:cs="Arial" w:hAnsi="Arial"/>
          <w:sz w:val="22"/>
        </w:rPr>
        <w:t>| 分层全量数据源 | 提供分层数据服务，覆盖全维度数据：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免费基础数据</w:t>
      </w:r>
      <w:r>
        <w:rPr>
          <w:rFonts w:eastAsia="等线" w:ascii="Arial" w:cs="Arial" w:hAnsi="Arial"/>
          <w:sz w:val="22"/>
        </w:rPr>
        <w:t>：A 股 20 年日线 / 分钟线行情、基础财务数据、宏观数据，满足新手入门需求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进阶专业数据</w:t>
      </w:r>
      <w:r>
        <w:rPr>
          <w:rFonts w:eastAsia="等线" w:ascii="Arial" w:cs="Arial" w:hAnsi="Arial"/>
          <w:sz w:val="22"/>
        </w:rPr>
        <w:t>：Tick 级盘口数据、逐笔成交数据、因子库数据，满足策略研发需求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高端另类数据</w:t>
      </w:r>
      <w:r>
        <w:rPr>
          <w:rFonts w:eastAsia="等线" w:ascii="Arial" w:cs="Arial" w:hAnsi="Arial"/>
          <w:sz w:val="22"/>
        </w:rPr>
        <w:t>：产业链数据、舆情数据、电商消费数据、机构调研数据，满足深度研究需求 | 解决现有平台「数据要么不全、要么全量付费门槛高」的问题，分层提供数据，免费用户即可满足基础需求，高级数据按需付费 |</w:t>
        <w:br/>
        <w:t>|| 数据自动清洗与校验 | 内置数据清洗引擎，自动修复停牌、除权除息、数据缺失等问题，保障数据一致性，避免回测偏差 | 解决用户自行处理数据的繁琐问题，同时避免现有平台部分数据未清洗导致的回测误差 |</w:t>
        <w:br/>
        <w:t>|| 实时行情低延迟推送 | 云端模式行情延迟 &lt; 100ms，本地模式行情延迟 &lt; 10ms，支持 Level-2 行情接入 | 弥补现有云端平台行情延迟高的问题，同时满足专业用户的低延迟需求 |</w:t>
        <w:br/>
      </w:r>
      <w:r>
        <w:rPr>
          <w:rFonts w:eastAsia="等线" w:ascii="Arial" w:cs="Arial" w:hAnsi="Arial"/>
          <w:sz w:val="22"/>
        </w:rPr>
        <w:t>|</w:t>
      </w:r>
      <w:r>
        <w:rPr>
          <w:rFonts w:eastAsia="等线" w:ascii="Arial" w:cs="Arial" w:hAnsi="Arial"/>
          <w:b w:val="true"/>
          <w:sz w:val="22"/>
        </w:rPr>
        <w:t>三、策略开发模块</w:t>
      </w:r>
      <w:r>
        <w:rPr>
          <w:rFonts w:eastAsia="等线" w:ascii="Arial" w:cs="Arial" w:hAnsi="Arial"/>
          <w:sz w:val="22"/>
        </w:rPr>
        <w:t>| 分层式开发界面 | 提供三类开发模式，适配不同技术水平用户：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零代码拖拽模式</w:t>
      </w:r>
      <w:r>
        <w:rPr>
          <w:rFonts w:eastAsia="等线" w:ascii="Arial" w:cs="Arial" w:hAnsi="Arial"/>
          <w:sz w:val="22"/>
        </w:rPr>
        <w:t>：可视化拖拽组件，无需编程，3 分钟即可完成网格交易、自动打新、止盈止损等基础策略配置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低代码模板模式</w:t>
      </w:r>
      <w:r>
        <w:rPr>
          <w:rFonts w:eastAsia="等线" w:ascii="Arial" w:cs="Arial" w:hAnsi="Arial"/>
          <w:sz w:val="22"/>
        </w:rPr>
        <w:t>：内置数百种主流策略模板（多因子、趋势、套利等），用户仅需调整参数即可快速部署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全代码开发模式</w:t>
      </w:r>
      <w:r>
        <w:rPr>
          <w:rFonts w:eastAsia="等线" w:ascii="Arial" w:cs="Arial" w:hAnsi="Arial"/>
          <w:sz w:val="22"/>
        </w:rPr>
        <w:t>：支持 Python、C++、VBA 多语言，100% 兼容所有第三方库（pandas、TA-Lib、sklearn 等），支持对接外部 IDE（VS Code、PyCharm）| 解决现有平台「要么只照顾新手（零代码但无扩展性）、要么只照顾专业用户（全代码门槛高）」的问题，全层级用户需求全覆盖，且可平滑升级 |</w:t>
        <w:br/>
      </w:r>
      <w:r>
        <w:rPr>
          <w:rFonts w:eastAsia="等线" w:ascii="Arial" w:cs="Arial" w:hAnsi="Arial"/>
          <w:sz w:val="22"/>
        </w:rPr>
        <w:t>||AI 大模型辅助开发 | 集成金融专属大模型，支持：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自然语言转策略代码：用户用口语描述需求，自动生成可运行的策略代码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代码错误自动排查：一键检测代码 bug、语法错误，给出修复建议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策略优化建议：基于回测结果，自动给出参数调整、逻辑优化的建议 | 大幅降低编程门槛，解决现有平台 AI 辅助功能浅层、无法适配量化场景的问题，让新手也能快速开发复杂策略 |</w:t>
        <w:br/>
        <w:t>|| 策略加密与隐私保护 | 支持策略代码加密，用户分享策略时，可仅开放运行权限，不泄露核心源码；本地模式下代码全程本地存储，无上传风险 | 解决现有平台策略分享时源码泄露的痛点，同时保障专业用户的核心策略安全 |</w:t>
        <w:br/>
      </w:r>
      <w:r>
        <w:rPr>
          <w:rFonts w:eastAsia="等线" w:ascii="Arial" w:cs="Arial" w:hAnsi="Arial"/>
          <w:sz w:val="22"/>
        </w:rPr>
        <w:t>|</w:t>
      </w:r>
      <w:r>
        <w:rPr>
          <w:rFonts w:eastAsia="等线" w:ascii="Arial" w:cs="Arial" w:hAnsi="Arial"/>
          <w:b w:val="true"/>
          <w:sz w:val="22"/>
        </w:rPr>
        <w:t>四、高精度回测模块</w:t>
      </w:r>
      <w:r>
        <w:rPr>
          <w:rFonts w:eastAsia="等线" w:ascii="Arial" w:cs="Arial" w:hAnsi="Arial"/>
          <w:sz w:val="22"/>
        </w:rPr>
        <w:t>|Tick 级高精度回测引擎 | 基于全量历史 Tick 数据进行回测，支持多周期、多品种并行回测，中低频策略回测速度提升 300%，高频策略支持微秒级精度 | 解决现有平台回测精度不足的问题，回测结果与实盘贴合度 &gt; 99%|</w:t>
        <w:br/>
        <w:t>|| 真实滑点与交易成本模拟 | 基于历史盘口数据动态计算滑点，而非固定滑点参数，同时模拟印花税、佣金、过户费、撤单费等全量交易成本 | 解决现有平台回测滑点模拟失真的问题，避免「回测收益高、实盘收益差」的偏差 |</w:t>
        <w:br/>
        <w:t>|| 未来函数自动检测 | 内置未来函数检测引擎，自动识别回测中使用未来数据的逻辑（如未来的财务数据、未来的行情数据），并给出预警 | 解决用户难以发现回测未来函数的痛点，避免无效策略的误导 |</w:t>
        <w:br/>
        <w:t>|| 合规化回测仿真 | 内置 2026 年最新监管规则，回测时自动模拟监管限制（报单频率、撤单率、日内交易限制等），让回测结果完全贴合实盘合规要求 | 填补现有平台回测未考虑合规限制的空白，避免回测有效、实盘触发监管红线的问题 |</w:t>
        <w:br/>
      </w:r>
      <w:r>
        <w:rPr>
          <w:rFonts w:eastAsia="等线" w:ascii="Arial" w:cs="Arial" w:hAnsi="Arial"/>
          <w:sz w:val="22"/>
        </w:rPr>
        <w:t>|</w:t>
      </w:r>
      <w:r>
        <w:rPr>
          <w:rFonts w:eastAsia="等线" w:ascii="Arial" w:cs="Arial" w:hAnsi="Arial"/>
          <w:b w:val="true"/>
          <w:sz w:val="22"/>
        </w:rPr>
        <w:t>五、模拟交易模块</w:t>
      </w:r>
      <w:r>
        <w:rPr>
          <w:rFonts w:eastAsia="等线" w:ascii="Arial" w:cs="Arial" w:hAnsi="Arial"/>
          <w:sz w:val="22"/>
        </w:rPr>
        <w:t>| 全真模拟交易环境 | 完全复刻实盘行情、交易规则、手续费、监管限制，支持 T+0、T+1、涨跌停、停牌等真实场景，模拟盘延迟与实盘一致 | 解决现有模拟盘与实盘环境偏差大的问题，让用户可充分验证策略有效性 |</w:t>
        <w:br/>
        <w:t>|| 多市场模拟支持 | 支持 A 股、港股、美股、期货、期权全市场模拟交易，支持跨境策略的模拟验证 | 弥补现有平台仅支持单一市场模拟的短板，满足跨境策略用户的需求 |</w:t>
        <w:br/>
        <w:t>|| 模拟盘绩效分析 | 自动生成模拟盘绩效报告，包含收益曲线、最大回撤、夏普比率、胜率、盈亏比等核心指标，同时支持风险归因分析 | 帮助用户快速评估策略实盘前的表现，提前发现问题 |</w:t>
        <w:br/>
      </w:r>
      <w:r>
        <w:rPr>
          <w:rFonts w:eastAsia="等线" w:ascii="Arial" w:cs="Arial" w:hAnsi="Arial"/>
          <w:sz w:val="22"/>
        </w:rPr>
        <w:t>|</w:t>
      </w:r>
      <w:r>
        <w:rPr>
          <w:rFonts w:eastAsia="等线" w:ascii="Arial" w:cs="Arial" w:hAnsi="Arial"/>
          <w:b w:val="true"/>
          <w:sz w:val="22"/>
        </w:rPr>
        <w:t>六、实盘交易模块</w:t>
      </w:r>
      <w:r>
        <w:rPr>
          <w:rFonts w:eastAsia="等线" w:ascii="Arial" w:cs="Arial" w:hAnsi="Arial"/>
          <w:sz w:val="22"/>
        </w:rPr>
        <w:t>| 全券商低门槛对接 | 对接国内 120 + 主流券商，覆盖 95% 以上的市场份额，支持普通柜台、极速柜台、两融柜台全接口；开通门槛低至 10 万日均资产，部分券商支持零门槛开通基础版 | 解决现有平台「要么对接券商少、要么开通门槛高（QMT 需 100 万）」的问题，中小散户也能快速接入 |</w:t>
        <w:br/>
        <w:t>|| 双模式交易执行 | 云端模式：报单延迟 &lt; 50ms，满足中低频交易需求；本地模式：报单延迟 &lt; 1ms，支持高频、打板、套利等对速度有极致要求的策略 | 兼顾不同用户的交易速度需求，解决现有平台要么速度慢、要么门槛高的问题 |</w:t>
        <w:br/>
        <w:t>|| 自动合规报备 | 对接券商合规系统，用户开通程序化交易时，自动完成监管要求的账户、策略报备，无需用户手动操作 | 解决用户不了解合规要求、手动报备繁琐的问题，保障交易合法合规 |</w:t>
        <w:br/>
        <w:t>|| 多账户统一管理 | 支持多券商账户、多资金账户的统一管理，支持批量下单、分仓策略、资管级的账户分组与权限管理 | 弥补现有平台多账户功能仅对机构开放的短板，个人用户也能管理多账户 |</w:t>
        <w:br/>
      </w:r>
      <w:r>
        <w:rPr>
          <w:rFonts w:eastAsia="等线" w:ascii="Arial" w:cs="Arial" w:hAnsi="Arial"/>
          <w:sz w:val="22"/>
        </w:rPr>
        <w:t>|</w:t>
      </w:r>
      <w:r>
        <w:rPr>
          <w:rFonts w:eastAsia="等线" w:ascii="Arial" w:cs="Arial" w:hAnsi="Arial"/>
          <w:b w:val="true"/>
          <w:sz w:val="22"/>
        </w:rPr>
        <w:t>七、全链路风险管理模块</w:t>
      </w:r>
      <w:r>
        <w:rPr>
          <w:rFonts w:eastAsia="等线" w:ascii="Arial" w:cs="Arial" w:hAnsi="Arial"/>
          <w:sz w:val="22"/>
        </w:rPr>
        <w:t>| 内置合规风控引擎 | 实时监控监管指标，包括：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报单频率监控：自动限制单账户每秒报单 / 撤单笔数，避免触发高频监管红线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撤单率监控：实时计算日内撤单率，超过阈值自动预警 / 拦截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异常交易监控：自动拦截拉抬打压、虚假挂单等违规交易行为 | 填补现有平台合规风控缺失的空白，主动帮助用户规避监管风险，无需用户自行监控 |</w:t>
        <w:br/>
      </w:r>
      <w:r>
        <w:rPr>
          <w:rFonts w:eastAsia="等线" w:ascii="Arial" w:cs="Arial" w:hAnsi="Arial"/>
          <w:sz w:val="22"/>
        </w:rPr>
        <w:t>|| 多层级交易风控 | 支持自定义多层级风控规则：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单票仓位限制：限制单只股票的最大仓位占比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单日亏损限制：单日账户亏损达到阈值自动暂停策略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异常行情拦截：极端行情下自动暂停策略，避免黑天鹅风险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止盈止损：支持策略级、账户级的全局止盈止损 | 解决现有平台风控规则简单、无法适配复杂需求的问题，全方位保障资金安全 |</w:t>
        <w:br/>
        <w:t>|| 实时风险监控看板 | 实时展示账户风险指标：仓位分布、风险敞口、VaR 值、监管指标状态，支持风险预警推送 | 让用户随时掌握账户风险状态，避免风险失控 |</w:t>
        <w:br/>
      </w:r>
      <w:r>
        <w:rPr>
          <w:rFonts w:eastAsia="等线" w:ascii="Arial" w:cs="Arial" w:hAnsi="Arial"/>
          <w:sz w:val="22"/>
        </w:rPr>
        <w:t>|</w:t>
      </w:r>
      <w:r>
        <w:rPr>
          <w:rFonts w:eastAsia="等线" w:ascii="Arial" w:cs="Arial" w:hAnsi="Arial"/>
          <w:b w:val="true"/>
          <w:sz w:val="22"/>
        </w:rPr>
        <w:t>八、专业投研工具模块</w:t>
      </w:r>
      <w:r>
        <w:rPr>
          <w:rFonts w:eastAsia="等线" w:ascii="Arial" w:cs="Arial" w:hAnsi="Arial"/>
          <w:sz w:val="22"/>
        </w:rPr>
        <w:t>| 全链路投研工具链 | 内置完整的投研工具：因子分析、组合优化、绩效评估、风险归因、事件分析，支持多因子策略的全流程研发 | 整合米筐、优矿的专业投研能力，解决现有平台投研工具与交易工具割裂的问题，无需切换平台即可完成从研究到交易的全流程 |</w:t>
        <w:br/>
        <w:t>|| 因子挖掘与分析工具 | 内置 400 + 标准化因子库，支持因子有效性检验、因子 ICIR 分析、因子正交化处理，支持用户自定义因子的快速验证 | 帮助用户快速完成因子挖掘，提升策略研发效率 |</w:t>
        <w:br/>
        <w:t>|| 绩效与风险归因 | 支持 Brinson 归因、Fama-French 多因子归因，自动拆解策略收益来源，帮助用户定位策略的优势与不足 | 解决现有平台归因工具缺失的问题，帮助用户迭代优化策略 |</w:t>
        <w:br/>
      </w:r>
      <w:r>
        <w:rPr>
          <w:rFonts w:eastAsia="等线" w:ascii="Arial" w:cs="Arial" w:hAnsi="Arial"/>
          <w:sz w:val="22"/>
        </w:rPr>
        <w:t>|</w:t>
      </w:r>
      <w:r>
        <w:rPr>
          <w:rFonts w:eastAsia="等线" w:ascii="Arial" w:cs="Arial" w:hAnsi="Arial"/>
          <w:b w:val="true"/>
          <w:sz w:val="22"/>
        </w:rPr>
        <w:t>九、用户分层与权限体系</w:t>
      </w:r>
      <w:r>
        <w:rPr>
          <w:rFonts w:eastAsia="等线" w:ascii="Arial" w:cs="Arial" w:hAnsi="Arial"/>
          <w:sz w:val="22"/>
        </w:rPr>
        <w:t xml:space="preserve">| 三级用户体系 | 1. </w:t>
      </w:r>
      <w:r>
        <w:rPr>
          <w:rFonts w:eastAsia="等线" w:ascii="Arial" w:cs="Arial" w:hAnsi="Arial"/>
          <w:b w:val="true"/>
          <w:sz w:val="22"/>
        </w:rPr>
        <w:t>免费版</w:t>
      </w:r>
      <w:r>
        <w:rPr>
          <w:rFonts w:eastAsia="等线" w:ascii="Arial" w:cs="Arial" w:hAnsi="Arial"/>
          <w:sz w:val="22"/>
        </w:rPr>
        <w:t>：开放基础数据、零代码策略、基础回测、模拟盘功能，满足新手入门需求，零成本使用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进阶版</w:t>
      </w:r>
      <w:r>
        <w:rPr>
          <w:rFonts w:eastAsia="等线" w:ascii="Arial" w:cs="Arial" w:hAnsi="Arial"/>
          <w:sz w:val="22"/>
        </w:rPr>
        <w:t>：开放 Tick 数据、全代码开发、实盘交易、基础风控功能，满足进阶投资者需求，低月费即可使用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专业版</w:t>
      </w:r>
      <w:r>
        <w:rPr>
          <w:rFonts w:eastAsia="等线" w:ascii="Arial" w:cs="Arial" w:hAnsi="Arial"/>
          <w:sz w:val="22"/>
        </w:rPr>
        <w:t>：开放另类数据、C++ 高频接口、多账户管理、机构级风控功能，满足专业用户 / 机构需求 | 解决现有平台「免费版功能阉割严重、专业版价格过高」的问题，分层定价，性价比远超现有平台 |</w:t>
        <w:br/>
        <w:t>|| 平滑升级机制 | 用户可随时在不同版本间升级 / 降级，策略、数据、配置完全兼容，无需重新开发 | 支持用户从新手到专业的平滑成长，无需更换平台 |</w:t>
        <w:br/>
      </w:r>
      <w:r>
        <w:rPr>
          <w:rFonts w:eastAsia="等线" w:ascii="Arial" w:cs="Arial" w:hAnsi="Arial"/>
          <w:sz w:val="22"/>
        </w:rPr>
        <w:t>|</w:t>
      </w:r>
      <w:r>
        <w:rPr>
          <w:rFonts w:eastAsia="等线" w:ascii="Arial" w:cs="Arial" w:hAnsi="Arial"/>
          <w:b w:val="true"/>
          <w:sz w:val="22"/>
        </w:rPr>
        <w:t>十、社区与生态模块</w:t>
      </w:r>
      <w:r>
        <w:rPr>
          <w:rFonts w:eastAsia="等线" w:ascii="Arial" w:cs="Arial" w:hAnsi="Arial"/>
          <w:sz w:val="22"/>
        </w:rPr>
        <w:t>| 加密策略分享社区 | 用户可分享自己的策略，支持加密分享，其他用户可直接使用策略，但无法查看源码，同时支持策略评分、评论 | 解决现有社区策略分享要么泄露源码、要么无法验证的问题，打造健康的策略生态 |</w:t>
        <w:br/>
        <w:t>|| 新手教学与成长体系 | 内置从入门到精通的完整量化教程，包含视频、文档、实战案例，同时支持新手任务体系，帮助用户快速上手 | 解决现有平台教学资源零散的问题，降低量化入门门槛 |</w:t>
        <w:br/>
      </w:r>
      <w:r>
        <w:rPr>
          <w:rFonts w:eastAsia="等线" w:ascii="Arial" w:cs="Arial" w:hAnsi="Arial"/>
          <w:sz w:val="22"/>
        </w:rPr>
        <w:t>|| 量化竞赛与交流 | 定期举办量化策略竞赛，提供奖金与流量扶持，同时支持用户交流、问答，打造活跃的开发者社区 | 借鉴聚宽的社区优势，同时解决现有社区内容质量参差不齐的问题 |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平台核心优势总结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本平台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现有主流平台（平均）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开通门槛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最低 10 万，部分券商零门槛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多数平台 30-100 万门槛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回测实盘贴合度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85%-90%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策略开发覆盖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零代码 / 低代码 / 全代码全支持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仅支持 1-2 种开发模式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095637">
    <w:lvl>
      <w:start w:val="1"/>
      <w:numFmt w:val="decimal"/>
      <w:suff w:val="tab"/>
      <w:lvlText w:val="%1."/>
      <w:rPr>
        <w:color w:val="3370ff"/>
      </w:rPr>
    </w:lvl>
  </w:abstractNum>
  <w:abstractNum w:abstractNumId="27095638">
    <w:lvl>
      <w:start w:val="2"/>
      <w:numFmt w:val="decimal"/>
      <w:suff w:val="tab"/>
      <w:lvlText w:val="%1."/>
      <w:rPr>
        <w:color w:val="3370ff"/>
      </w:rPr>
    </w:lvl>
  </w:abstractNum>
  <w:abstractNum w:abstractNumId="27095639">
    <w:lvl>
      <w:start w:val="3"/>
      <w:numFmt w:val="decimal"/>
      <w:suff w:val="tab"/>
      <w:lvlText w:val="%1."/>
      <w:rPr>
        <w:color w:val="3370ff"/>
      </w:rPr>
    </w:lvl>
  </w:abstractNum>
  <w:abstractNum w:abstractNumId="27095640">
    <w:lvl>
      <w:start w:val="4"/>
      <w:numFmt w:val="decimal"/>
      <w:suff w:val="tab"/>
      <w:lvlText w:val="%1."/>
      <w:rPr>
        <w:color w:val="3370ff"/>
      </w:rPr>
    </w:lvl>
  </w:abstractNum>
  <w:abstractNum w:abstractNumId="27095641">
    <w:lvl>
      <w:start w:val="5"/>
      <w:numFmt w:val="decimal"/>
      <w:suff w:val="tab"/>
      <w:lvlText w:val="%1."/>
      <w:rPr>
        <w:color w:val="3370ff"/>
      </w:rPr>
    </w:lvl>
  </w:abstractNum>
  <w:abstractNum w:abstractNumId="27095642">
    <w:lvl>
      <w:start w:val="6"/>
      <w:numFmt w:val="decimal"/>
      <w:suff w:val="tab"/>
      <w:lvlText w:val="%1."/>
      <w:rPr>
        <w:color w:val="3370ff"/>
      </w:rPr>
    </w:lvl>
  </w:abstractNum>
  <w:abstractNum w:abstractNumId="27095643">
    <w:lvl>
      <w:start w:val="7"/>
      <w:numFmt w:val="decimal"/>
      <w:suff w:val="tab"/>
      <w:lvlText w:val="%1."/>
      <w:rPr>
        <w:color w:val="3370ff"/>
      </w:rPr>
    </w:lvl>
  </w:abstractNum>
  <w:abstractNum w:abstractNumId="27095644">
    <w:lvl>
      <w:start w:val="8"/>
      <w:numFmt w:val="decimal"/>
      <w:suff w:val="tab"/>
      <w:lvlText w:val="%1."/>
      <w:rPr>
        <w:color w:val="3370ff"/>
      </w:rPr>
    </w:lvl>
  </w:abstractNum>
  <w:abstractNum w:abstractNumId="27095645">
    <w:lvl>
      <w:start w:val="9"/>
      <w:numFmt w:val="decimal"/>
      <w:suff w:val="tab"/>
      <w:lvlText w:val="%1."/>
      <w:rPr>
        <w:color w:val="3370ff"/>
      </w:rPr>
    </w:lvl>
  </w:abstractNum>
  <w:abstractNum w:abstractNumId="27095646">
    <w:lvl>
      <w:start w:val="10"/>
      <w:numFmt w:val="decimal"/>
      <w:suff w:val="tab"/>
      <w:lvlText w:val="%1."/>
      <w:rPr>
        <w:color w:val="3370ff"/>
      </w:rPr>
    </w:lvl>
  </w:abstractNum>
  <w:abstractNum w:abstractNumId="27095647">
    <w:lvl>
      <w:start w:val="11"/>
      <w:numFmt w:val="decimal"/>
      <w:suff w:val="tab"/>
      <w:lvlText w:val="%1."/>
      <w:rPr>
        <w:color w:val="3370ff"/>
      </w:rPr>
    </w:lvl>
  </w:abstractNum>
  <w:abstractNum w:abstractNumId="27095648">
    <w:lvl>
      <w:start w:val="12"/>
      <w:numFmt w:val="decimal"/>
      <w:suff w:val="tab"/>
      <w:lvlText w:val="%1."/>
      <w:rPr>
        <w:color w:val="3370ff"/>
      </w:rPr>
    </w:lvl>
  </w:abstractNum>
  <w:abstractNum w:abstractNumId="27095649">
    <w:lvl>
      <w:start w:val="13"/>
      <w:numFmt w:val="decimal"/>
      <w:suff w:val="tab"/>
      <w:lvlText w:val="%1."/>
      <w:rPr>
        <w:color w:val="3370ff"/>
      </w:rPr>
    </w:lvl>
  </w:abstractNum>
  <w:abstractNum w:abstractNumId="27095650">
    <w:lvl>
      <w:start w:val="14"/>
      <w:numFmt w:val="decimal"/>
      <w:suff w:val="tab"/>
      <w:lvlText w:val="%1."/>
      <w:rPr>
        <w:color w:val="3370ff"/>
      </w:rPr>
    </w:lvl>
  </w:abstractNum>
  <w:abstractNum w:abstractNumId="27095651">
    <w:lvl>
      <w:start w:val="15"/>
      <w:numFmt w:val="decimal"/>
      <w:suff w:val="tab"/>
      <w:lvlText w:val="%1."/>
      <w:rPr>
        <w:color w:val="3370ff"/>
      </w:rPr>
    </w:lvl>
  </w:abstractNum>
  <w:abstractNum w:abstractNumId="27095652">
    <w:lvl>
      <w:start w:val="16"/>
      <w:numFmt w:val="decimal"/>
      <w:suff w:val="tab"/>
      <w:lvlText w:val="%1."/>
      <w:rPr>
        <w:color w:val="3370ff"/>
      </w:rPr>
    </w:lvl>
  </w:abstractNum>
  <w:abstractNum w:abstractNumId="27095653">
    <w:lvl>
      <w:start w:val="17"/>
      <w:numFmt w:val="decimal"/>
      <w:suff w:val="tab"/>
      <w:lvlText w:val="%1."/>
      <w:rPr>
        <w:color w:val="3370ff"/>
      </w:rPr>
    </w:lvl>
  </w:abstractNum>
  <w:abstractNum w:abstractNumId="27095654">
    <w:lvl>
      <w:start w:val="18"/>
      <w:numFmt w:val="decimal"/>
      <w:suff w:val="tab"/>
      <w:lvlText w:val="%1."/>
      <w:rPr>
        <w:color w:val="3370ff"/>
      </w:rPr>
    </w:lvl>
  </w:abstractNum>
  <w:abstractNum w:abstractNumId="27095655">
    <w:lvl>
      <w:start w:val="19"/>
      <w:numFmt w:val="decimal"/>
      <w:suff w:val="tab"/>
      <w:lvlText w:val="%1."/>
      <w:rPr>
        <w:color w:val="3370ff"/>
      </w:rPr>
    </w:lvl>
  </w:abstractNum>
  <w:abstractNum w:abstractNumId="27095656">
    <w:lvl>
      <w:start w:val="20"/>
      <w:numFmt w:val="decimal"/>
      <w:suff w:val="tab"/>
      <w:lvlText w:val="%1."/>
      <w:rPr>
        <w:color w:val="3370ff"/>
      </w:rPr>
    </w:lvl>
  </w:abstractNum>
  <w:num w:numId="1">
    <w:abstractNumId w:val="27095637"/>
  </w:num>
  <w:num w:numId="2">
    <w:abstractNumId w:val="27095638"/>
  </w:num>
  <w:num w:numId="3">
    <w:abstractNumId w:val="27095639"/>
  </w:num>
  <w:num w:numId="4">
    <w:abstractNumId w:val="27095640"/>
  </w:num>
  <w:num w:numId="5">
    <w:abstractNumId w:val="27095641"/>
  </w:num>
  <w:num w:numId="6">
    <w:abstractNumId w:val="27095642"/>
  </w:num>
  <w:num w:numId="7">
    <w:abstractNumId w:val="27095643"/>
  </w:num>
  <w:num w:numId="8">
    <w:abstractNumId w:val="27095644"/>
  </w:num>
  <w:num w:numId="9">
    <w:abstractNumId w:val="27095645"/>
  </w:num>
  <w:num w:numId="10">
    <w:abstractNumId w:val="27095646"/>
  </w:num>
  <w:num w:numId="11">
    <w:abstractNumId w:val="27095647"/>
  </w:num>
  <w:num w:numId="12">
    <w:abstractNumId w:val="27095648"/>
  </w:num>
  <w:num w:numId="13">
    <w:abstractNumId w:val="27095649"/>
  </w:num>
  <w:num w:numId="14">
    <w:abstractNumId w:val="27095650"/>
  </w:num>
  <w:num w:numId="15">
    <w:abstractNumId w:val="27095651"/>
  </w:num>
  <w:num w:numId="16">
    <w:abstractNumId w:val="27095652"/>
  </w:num>
  <w:num w:numId="17">
    <w:abstractNumId w:val="27095653"/>
  </w:num>
  <w:num w:numId="18">
    <w:abstractNumId w:val="27095654"/>
  </w:num>
  <w:num w:numId="19">
    <w:abstractNumId w:val="27095655"/>
  </w:num>
  <w:num w:numId="20">
    <w:abstractNumId w:val="270956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2026-04-11T04:14:48Z</dcterms:created>
  <dc:creator>Apache POI</dc:creator>
</cp:coreProperties>
</file>