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矩形 0">
      <v:fill on="f" color2="#FFFFFF" focus="0%"/>
    </v:background>
  </w:background>
  <w:body>
    <w:p>
      <w:pPr>
        <w:pStyle w:val="6"/>
        <w:adjustRightInd w:val="0"/>
        <w:snapToGrid w:val="0"/>
        <w:spacing w:line="400" w:lineRule="exact"/>
        <w:ind w:left="-210" w:leftChars="-100" w:right="-210" w:rightChars="-100" w:firstLine="0"/>
        <w:jc w:val="center"/>
        <w:rPr>
          <w:rFonts w:hint="eastAsia" w:eastAsia="黑体"/>
          <w:bCs/>
          <w:kern w:val="2"/>
          <w:sz w:val="36"/>
          <w:szCs w:val="36"/>
        </w:rPr>
      </w:pPr>
      <w:bookmarkStart w:id="4" w:name="_GoBack"/>
      <w:bookmarkEnd w:id="4"/>
      <w:r>
        <w:rPr>
          <w:rFonts w:hint="eastAsia" w:eastAsia="黑体"/>
          <w:bCs/>
          <w:kern w:val="2"/>
          <w:sz w:val="36"/>
          <w:szCs w:val="36"/>
        </w:rPr>
        <w:t>华夏理财权益打新一年定开理财产品1号说明书</w:t>
      </w:r>
    </w:p>
    <w:tbl>
      <w:tblPr>
        <w:tblStyle w:val="13"/>
        <w:tblpPr w:leftFromText="180" w:rightFromText="180" w:vertAnchor="page" w:horzAnchor="page" w:tblpX="1867" w:tblpY="2343"/>
        <w:tblW w:w="859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等渠道进行公告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hint="eastAsia" w:eastAsia="黑体"/>
          <w:bCs/>
          <w:kern w:val="2"/>
          <w:sz w:val="36"/>
          <w:szCs w:val="36"/>
        </w:rPr>
      </w:pPr>
    </w:p>
    <w:p>
      <w:pPr>
        <w:pStyle w:val="6"/>
        <w:adjustRightInd w:val="0"/>
        <w:snapToGrid w:val="0"/>
        <w:spacing w:line="400" w:lineRule="exact"/>
        <w:ind w:firstLine="0"/>
        <w:jc w:val="center"/>
        <w:rPr>
          <w:rFonts w:hint="eastAsia" w:eastAsia="黑体"/>
          <w:bCs/>
          <w:kern w:val="2"/>
          <w:sz w:val="36"/>
          <w:szCs w:val="36"/>
        </w:rPr>
      </w:pP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3"/>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华夏理财权益打新一年定开理财产品1号</w:t>
            </w:r>
          </w:p>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简称：“华夏理财权益打新一年定开1号”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211948700101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全国银行业理财登记系统登记编码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Z7003921000242</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权益类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PR4级（中高风险）</w:t>
            </w:r>
            <w:r>
              <w:rPr>
                <w:rFonts w:ascii="仿宋" w:hAnsi="仿宋" w:eastAsia="仿宋"/>
                <w:bCs/>
                <w:szCs w:val="21"/>
              </w:rPr>
              <w:t>理财产品。</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keepNext/>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该产品通过代理销售机构渠道销售的，理财产品评级应当以代理销售机构最终披露的评级结果为准。</w:t>
            </w:r>
            <w:r>
              <w:rPr>
                <w:rFonts w:hint="eastAsia" w:ascii="仿宋" w:hAnsi="仿宋" w:eastAsia="仿宋"/>
                <w:szCs w:val="21"/>
              </w:rPr>
              <w:t>代理销售机构（以下简称“代销机构”）如与华夏理财评级结果不一致，应当采用对应较高风险等级的评级结果</w:t>
            </w:r>
            <w:r>
              <w:rPr>
                <w:rFonts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color w:val="000000"/>
                <w:szCs w:val="21"/>
              </w:rPr>
              <w:t>CR4（进取型）、CR5（激进型）</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p>
          <w:p>
            <w:pPr>
              <w:adjustRightInd w:val="0"/>
              <w:snapToGrid w:val="0"/>
              <w:spacing w:line="240" w:lineRule="atLeast"/>
              <w:ind w:firstLine="422" w:firstLineChars="200"/>
              <w:rPr>
                <w:rFonts w:hint="eastAsia" w:ascii="仿宋" w:hAnsi="仿宋" w:eastAsia="仿宋"/>
                <w:bCs/>
                <w:color w:val="000000"/>
                <w:szCs w:val="21"/>
              </w:rPr>
            </w:pP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业绩基准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bCs/>
                <w:color w:val="000000"/>
                <w:szCs w:val="21"/>
              </w:rPr>
              <w:t>业绩基准为4.00%-5.00%（年化），以产品投资利率债仓位0-20%，信用债仓位0-20%，权益类资产仓位80%-100%，组合杠杆率100%为例，利率债、信用债分别参考中债-国债总财富（1-3年）指数、中债-信用债总财富（1-3年）指数近三年历史数据计算正态分布下80%分位数估算，权益类资产收益参考打新公募基金2021年平均收益估算，结合产品投资策略并扣除各项费用后，综合测算得出上述业绩基准。测算示例仅供参考，具体资产投资比例可根据各类资产的收益水平、流动性特征、信用风险等因素动态调整。</w:t>
            </w:r>
          </w:p>
          <w:p>
            <w:pPr>
              <w:adjustRightInd w:val="0"/>
              <w:snapToGrid w:val="0"/>
              <w:spacing w:line="240" w:lineRule="atLeast"/>
              <w:ind w:firstLine="420" w:firstLineChars="200"/>
              <w:rPr>
                <w:rFonts w:ascii="仿宋" w:hAnsi="仿宋" w:eastAsia="仿宋"/>
              </w:rPr>
            </w:pPr>
            <w:r>
              <w:rPr>
                <w:rFonts w:hint="eastAsia" w:ascii="仿宋" w:hAnsi="仿宋" w:eastAsia="仿宋"/>
                <w:bCs/>
                <w:color w:val="000000"/>
                <w:szCs w:val="21"/>
              </w:rPr>
              <w:t>业绩基准是管理人基于产品性质、投资策略、过往经验等因素对产品设定的投资目标，不代表产品的未来表现和实际收益，不构成对产品收益的承诺。</w:t>
            </w:r>
          </w:p>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bCs/>
                <w:color w:val="000000"/>
                <w:szCs w:val="21"/>
              </w:rPr>
              <w:t>华夏理财有权根据市场情况及产品运作情况调整业绩基准，</w:t>
            </w:r>
            <w:r>
              <w:rPr>
                <w:rFonts w:hint="eastAsia" w:ascii="仿宋" w:hAnsi="仿宋" w:eastAsia="仿宋"/>
                <w:bCs/>
                <w:szCs w:val="21"/>
              </w:rPr>
              <w:t>并至少于新业绩基准启用前3个工作日公告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2.本业绩基准不构成华夏理财/代销机构对本理财产品的任何收益承诺。</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03月19</w:t>
            </w:r>
            <w:r>
              <w:rPr>
                <w:rFonts w:ascii="仿宋" w:hAnsi="仿宋" w:eastAsia="仿宋"/>
                <w:bCs/>
                <w:szCs w:val="21"/>
              </w:rPr>
              <w:t>日－</w:t>
            </w: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w:t>
            </w:r>
            <w:r>
              <w:rPr>
                <w:rFonts w:ascii="仿宋" w:hAnsi="仿宋" w:eastAsia="仿宋"/>
                <w:bCs/>
                <w:szCs w:val="21"/>
              </w:rPr>
              <w:t>月</w:t>
            </w:r>
            <w:r>
              <w:rPr>
                <w:rFonts w:hint="eastAsia" w:ascii="仿宋" w:hAnsi="仿宋" w:eastAsia="仿宋"/>
                <w:bCs/>
                <w:szCs w:val="21"/>
              </w:rPr>
              <w:t>23日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03</w:t>
            </w:r>
            <w:r>
              <w:rPr>
                <w:rFonts w:ascii="仿宋" w:hAnsi="仿宋" w:eastAsia="仿宋"/>
                <w:bCs/>
                <w:szCs w:val="21"/>
              </w:rPr>
              <w:t>月</w:t>
            </w:r>
            <w:r>
              <w:rPr>
                <w:rFonts w:hint="eastAsia" w:ascii="仿宋" w:hAnsi="仿宋" w:eastAsia="仿宋"/>
                <w:bCs/>
                <w:szCs w:val="21"/>
              </w:rPr>
              <w:t>24</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hint="eastAsia"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color w:val="000000"/>
                <w:szCs w:val="21"/>
              </w:rPr>
              <w:t>本理财产品无特定存续期限（实际产品期限受制于提前终止条款的约定）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发行规模</w:t>
            </w:r>
            <w:r>
              <w:rPr>
                <w:rFonts w:ascii="仿宋" w:hAnsi="仿宋" w:eastAsia="仿宋"/>
                <w:bCs/>
                <w:szCs w:val="21"/>
              </w:rPr>
              <w:t>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1000万元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hint="eastAsia"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keepNext/>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最低保留</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高持有限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本理财产品单一投资者持有产品份额数不得达到或超过产品份额总数的 50%。如在2022年5月10日前，单一投资者持有份额超过总份额50%的，在该单一投资者持有份额占产品总份额比例降至50%以下之前，产品管理人不得再接受该单一投资者对该理财产品的认/申购申请。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份额净值为提取管理费、托管费、销售费等相关费用后的理财产品份额净值，投资者按该份额净值进行申购、赎回和到期/终止时的分配。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份额净值的计算保留到小数点后4位，小数点后第5位四舍五入</w:t>
            </w:r>
            <w:r>
              <w:rPr>
                <w:rFonts w:hint="eastAsia" w:ascii="仿宋" w:hAnsi="仿宋" w:eastAsia="仿宋"/>
                <w:bCs/>
                <w:szCs w:val="21"/>
                <w:lang w:val="en-UK"/>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u w:val="single"/>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1470"/>
              </w:tabs>
              <w:adjustRightInd w:val="0"/>
              <w:snapToGrid w:val="0"/>
              <w:spacing w:line="240" w:lineRule="atLeast"/>
              <w:ind w:right="-44"/>
              <w:rPr>
                <w:rFonts w:hint="eastAsia" w:ascii="仿宋" w:hAnsi="仿宋" w:eastAsia="仿宋"/>
                <w:bCs/>
                <w:szCs w:val="21"/>
              </w:rPr>
            </w:pPr>
            <w:r>
              <w:rPr>
                <w:rFonts w:hint="eastAsia" w:ascii="仿宋" w:hAnsi="仿宋" w:eastAsia="仿宋"/>
                <w:bCs/>
                <w:szCs w:val="21"/>
              </w:rPr>
              <w:t xml:space="preserve">    开放期/开放日为产品成立后每年03月19日（含）起连续3个工作日，开放期/开放日如遇非工作日则顺延至下一个工作日。</w:t>
            </w:r>
          </w:p>
          <w:tbl>
            <w:tblPr>
              <w:tblStyle w:val="13"/>
              <w:tblW w:w="6771"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top"/>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交易类型</w:t>
                  </w:r>
                </w:p>
              </w:tc>
              <w:tc>
                <w:tcPr>
                  <w:tcW w:w="5406" w:type="dxa"/>
                  <w:vAlign w:val="top"/>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top"/>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申购</w:t>
                  </w:r>
                </w:p>
              </w:tc>
              <w:tc>
                <w:tcPr>
                  <w:tcW w:w="5406" w:type="dxa"/>
                  <w:vAlign w:val="top"/>
                </w:tcPr>
                <w:p>
                  <w:pPr>
                    <w:adjustRightInd w:val="0"/>
                    <w:snapToGrid w:val="0"/>
                    <w:spacing w:line="240" w:lineRule="atLeast"/>
                    <w:ind w:right="-44"/>
                    <w:rPr>
                      <w:rFonts w:hint="eastAsia"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right="-44"/>
                    <w:rPr>
                      <w:rFonts w:hint="eastAsia" w:ascii="仿宋" w:hAnsi="仿宋" w:eastAsia="仿宋"/>
                      <w:bCs/>
                      <w:szCs w:val="21"/>
                      <w:u w:val="single"/>
                    </w:rPr>
                  </w:pPr>
                  <w:r>
                    <w:rPr>
                      <w:rFonts w:hint="eastAsia" w:ascii="仿宋" w:hAnsi="仿宋" w:eastAsia="仿宋"/>
                    </w:rPr>
                    <w:t>投资者只能于开放日的开放时间内进行申购。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top"/>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赎回</w:t>
                  </w:r>
                </w:p>
              </w:tc>
              <w:tc>
                <w:tcPr>
                  <w:tcW w:w="5406" w:type="dxa"/>
                  <w:vAlign w:val="top"/>
                </w:tcPr>
                <w:p>
                  <w:pPr>
                    <w:adjustRightInd w:val="0"/>
                    <w:snapToGrid w:val="0"/>
                    <w:spacing w:line="240" w:lineRule="atLeast"/>
                    <w:ind w:right="-44"/>
                    <w:rPr>
                      <w:rFonts w:hint="eastAsia"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right="-44"/>
                    <w:rPr>
                      <w:rFonts w:hint="eastAsia" w:ascii="仿宋" w:hAnsi="仿宋" w:eastAsia="仿宋"/>
                      <w:bCs/>
                      <w:szCs w:val="21"/>
                    </w:rPr>
                  </w:pPr>
                  <w:r>
                    <w:rPr>
                      <w:rFonts w:hint="eastAsia" w:ascii="仿宋" w:hAnsi="仿宋" w:eastAsia="仿宋"/>
                    </w:rPr>
                    <w:t>投资者只能于开放日的开放时间内进行赎回。</w:t>
                  </w:r>
                </w:p>
              </w:tc>
            </w:tr>
          </w:tbl>
          <w:p>
            <w:pPr>
              <w:adjustRightInd w:val="0"/>
              <w:snapToGrid w:val="0"/>
              <w:spacing w:line="240" w:lineRule="atLeast"/>
              <w:ind w:right="-44" w:firstLine="422" w:firstLineChars="200"/>
              <w:jc w:val="left"/>
              <w:rPr>
                <w:rFonts w:hint="eastAsia"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、预约赎回申请；预约购买</w:t>
            </w:r>
            <w:r>
              <w:rPr>
                <w:rFonts w:ascii="仿宋" w:hAnsi="仿宋" w:eastAsia="仿宋"/>
                <w:bCs/>
                <w:szCs w:val="21"/>
              </w:rPr>
              <w:t>及</w:t>
            </w:r>
            <w:r>
              <w:rPr>
                <w:rFonts w:hint="eastAsia" w:ascii="仿宋" w:hAnsi="仿宋" w:eastAsia="仿宋"/>
                <w:bCs/>
                <w:szCs w:val="21"/>
              </w:rPr>
              <w:t>预约</w:t>
            </w:r>
            <w:r>
              <w:rPr>
                <w:rFonts w:ascii="仿宋" w:hAnsi="仿宋" w:eastAsia="仿宋"/>
                <w:bCs/>
                <w:szCs w:val="21"/>
              </w:rPr>
              <w:t>赎回申请，</w:t>
            </w:r>
            <w:r>
              <w:rPr>
                <w:rFonts w:hint="eastAsia" w:ascii="仿宋" w:hAnsi="仿宋" w:eastAsia="仿宋"/>
                <w:bCs/>
                <w:szCs w:val="21"/>
              </w:rPr>
              <w:t>视</w:t>
            </w:r>
            <w:r>
              <w:rPr>
                <w:rFonts w:ascii="仿宋" w:hAnsi="仿宋" w:eastAsia="仿宋"/>
                <w:bCs/>
                <w:szCs w:val="21"/>
              </w:rPr>
              <w:t>同在下一</w:t>
            </w:r>
            <w:r>
              <w:rPr>
                <w:rFonts w:hint="eastAsia" w:ascii="仿宋" w:hAnsi="仿宋" w:eastAsia="仿宋"/>
                <w:bCs/>
                <w:szCs w:val="21"/>
              </w:rPr>
              <w:t>个申购/赎回</w:t>
            </w:r>
            <w:r>
              <w:rPr>
                <w:rFonts w:ascii="仿宋" w:hAnsi="仿宋" w:eastAsia="仿宋"/>
                <w:bCs/>
                <w:szCs w:val="21"/>
              </w:rPr>
              <w:t>开放日开放时间内的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；华夏银行/华夏理财将在预约购买申请提出日之后的下一个申购开放日上午对预约购买申请扣款，如扣款失败,则预约购买申请不成功。</w:t>
            </w:r>
          </w:p>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通过</w:t>
            </w:r>
            <w:r>
              <w:rPr>
                <w:rFonts w:ascii="仿宋" w:hAnsi="仿宋" w:eastAsia="仿宋"/>
                <w:bCs/>
                <w:szCs w:val="21"/>
              </w:rPr>
              <w:t>其他代销机构购买的投资者，</w:t>
            </w:r>
            <w:r>
              <w:rPr>
                <w:rFonts w:hint="eastAsia" w:ascii="仿宋" w:hAnsi="仿宋" w:eastAsia="仿宋"/>
                <w:bCs/>
                <w:szCs w:val="21"/>
              </w:rPr>
              <w:t>以代销机构规定为准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T+2日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通过华夏银行/华夏理财购买的，T日扣款；通过其他代销机构购买的，扣款以代销机构规定为准。</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T日赎回，</w:t>
            </w:r>
            <w:r>
              <w:rPr>
                <w:rFonts w:hint="eastAsia" w:ascii="仿宋" w:hAnsi="仿宋" w:eastAsia="仿宋"/>
                <w:bCs/>
                <w:szCs w:val="21"/>
              </w:rPr>
              <w:t>T+2日</w:t>
            </w:r>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hint="eastAsia" w:ascii="仿宋" w:hAnsi="仿宋" w:eastAsia="仿宋"/>
                <w:bCs/>
                <w:color w:val="FF6600"/>
                <w:szCs w:val="21"/>
              </w:rPr>
            </w:pPr>
            <w:r>
              <w:rPr>
                <w:rFonts w:hint="eastAsia" w:ascii="仿宋" w:hAnsi="仿宋" w:eastAsia="仿宋"/>
                <w:bCs/>
                <w:szCs w:val="21"/>
              </w:rPr>
              <w:t>通过华夏银行/华夏理财赎回的，投资者</w:t>
            </w:r>
            <w:r>
              <w:rPr>
                <w:rFonts w:ascii="仿宋" w:hAnsi="仿宋" w:eastAsia="仿宋"/>
                <w:bCs/>
                <w:szCs w:val="21"/>
              </w:rPr>
              <w:t>赎回资金</w:t>
            </w:r>
            <w:r>
              <w:rPr>
                <w:rFonts w:hint="eastAsia" w:ascii="仿宋" w:hAnsi="仿宋" w:eastAsia="仿宋"/>
                <w:bCs/>
                <w:szCs w:val="21"/>
              </w:rPr>
              <w:t>于T+4日24点前</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本理财产品采取份额赎回的方式。投资者可选择全额或部分赎回，部分赎回后投资者持有本理财产品的实时余额不得低于理财账户最低保留</w:t>
            </w:r>
            <w:r>
              <w:rPr>
                <w:rFonts w:hint="eastAsia" w:ascii="仿宋" w:hAnsi="仿宋" w:eastAsia="仿宋"/>
                <w:bCs/>
                <w:szCs w:val="21"/>
              </w:rPr>
              <w:t>限</w:t>
            </w:r>
            <w:r>
              <w:rPr>
                <w:rFonts w:ascii="仿宋" w:hAnsi="仿宋" w:eastAsia="仿宋"/>
                <w:bCs/>
                <w:szCs w:val="21"/>
              </w:rPr>
              <w:t>额，否则</w:t>
            </w:r>
            <w:r>
              <w:rPr>
                <w:rFonts w:hint="eastAsia" w:ascii="仿宋" w:hAnsi="仿宋" w:eastAsia="仿宋"/>
                <w:bCs/>
                <w:szCs w:val="21"/>
              </w:rPr>
              <w:t>通过</w:t>
            </w:r>
            <w:r>
              <w:rPr>
                <w:rFonts w:ascii="仿宋" w:hAnsi="仿宋" w:eastAsia="仿宋"/>
                <w:bCs/>
                <w:szCs w:val="21"/>
              </w:rPr>
              <w:t>华夏银行</w:t>
            </w:r>
            <w:r>
              <w:rPr>
                <w:rFonts w:hint="eastAsia" w:ascii="仿宋" w:hAnsi="仿宋" w:eastAsia="仿宋"/>
                <w:bCs/>
                <w:szCs w:val="21"/>
              </w:rPr>
              <w:t>/华夏理财购买的，华夏理财</w:t>
            </w:r>
            <w:r>
              <w:rPr>
                <w:rFonts w:ascii="仿宋" w:hAnsi="仿宋" w:eastAsia="仿宋"/>
                <w:bCs/>
                <w:szCs w:val="21"/>
              </w:rPr>
              <w:t>将</w:t>
            </w:r>
            <w:r>
              <w:rPr>
                <w:rFonts w:hint="eastAsia" w:ascii="仿宋" w:hAnsi="仿宋" w:eastAsia="仿宋"/>
                <w:bCs/>
                <w:szCs w:val="21"/>
              </w:rPr>
              <w:t>拒绝</w:t>
            </w:r>
            <w:r>
              <w:rPr>
                <w:rFonts w:ascii="仿宋" w:hAnsi="仿宋" w:eastAsia="仿宋"/>
                <w:bCs/>
                <w:szCs w:val="21"/>
              </w:rPr>
              <w:t>投资者的赎回申请</w:t>
            </w:r>
            <w:r>
              <w:rPr>
                <w:rFonts w:hint="eastAsia" w:ascii="仿宋" w:hAnsi="仿宋" w:eastAsia="仿宋"/>
                <w:bCs/>
                <w:szCs w:val="21"/>
              </w:rPr>
              <w:t>；通过其他代销机构购买的，遵从其赎回规定</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rPr>
                <w:rFonts w:hint="eastAsia" w:ascii="仿宋" w:hAnsi="仿宋" w:eastAsia="仿宋"/>
                <w:bCs/>
                <w:szCs w:val="21"/>
                <w:u w:val="single"/>
              </w:rPr>
            </w:pPr>
            <w:r>
              <w:rPr>
                <w:rFonts w:hint="eastAsia" w:ascii="仿宋" w:hAnsi="仿宋" w:eastAsia="仿宋"/>
                <w:bCs/>
                <w:szCs w:val="21"/>
              </w:rPr>
              <w:t xml:space="preserve">    </w:t>
            </w:r>
            <w:r>
              <w:rPr>
                <w:rFonts w:ascii="仿宋" w:hAnsi="仿宋" w:eastAsia="仿宋"/>
                <w:bCs/>
                <w:szCs w:val="21"/>
              </w:rPr>
              <w:t>赎回金额＝赎回份额×赎回</w:t>
            </w:r>
            <w:r>
              <w:rPr>
                <w:rFonts w:hint="eastAsia" w:ascii="仿宋" w:hAnsi="仿宋" w:eastAsia="仿宋"/>
                <w:bCs/>
                <w:szCs w:val="21"/>
              </w:rPr>
              <w:t>申请日的产品份额净值，保留到小数点后</w:t>
            </w:r>
            <w:r>
              <w:rPr>
                <w:rFonts w:hint="eastAsia" w:ascii="仿宋" w:hAnsi="仿宋" w:eastAsia="仿宋"/>
                <w:bCs/>
                <w:szCs w:val="21"/>
                <w:u w:val="single"/>
              </w:rPr>
              <w:t>2</w:t>
            </w:r>
            <w:r>
              <w:rPr>
                <w:rFonts w:hint="eastAsia" w:ascii="仿宋" w:hAnsi="仿宋" w:eastAsia="仿宋"/>
                <w:bCs/>
                <w:szCs w:val="21"/>
              </w:rPr>
              <w:t>位，小数点后第</w:t>
            </w:r>
            <w:r>
              <w:rPr>
                <w:rFonts w:hint="eastAsia" w:ascii="仿宋" w:hAnsi="仿宋" w:eastAsia="仿宋"/>
                <w:bCs/>
                <w:szCs w:val="21"/>
                <w:u w:val="single"/>
              </w:rPr>
              <w:t>3</w:t>
            </w:r>
            <w:r>
              <w:rPr>
                <w:rFonts w:hint="eastAsia" w:ascii="仿宋" w:hAnsi="仿宋" w:eastAsia="仿宋"/>
                <w:bCs/>
                <w:szCs w:val="21"/>
              </w:rPr>
              <w:t>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华夏理财将于到期/终止</w:t>
            </w:r>
            <w:r>
              <w:rPr>
                <w:rFonts w:ascii="仿宋" w:hAnsi="仿宋" w:eastAsia="仿宋"/>
                <w:bCs/>
                <w:szCs w:val="21"/>
              </w:rPr>
              <w:t>日</w:t>
            </w:r>
            <w:r>
              <w:rPr>
                <w:rFonts w:hint="eastAsia" w:ascii="仿宋" w:hAnsi="仿宋" w:eastAsia="仿宋"/>
                <w:bCs/>
                <w:szCs w:val="21"/>
              </w:rPr>
              <w:t>后4个工作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根据实际投资结果向华夏银行/华夏理财客户及其他代销机构一次性划付理财本金及收益（如有），其他代销机构客户理财本金及收益（如有）的具体到账账户、到账日及到账时间以代销机构划付规定为准。</w:t>
            </w:r>
          </w:p>
          <w:p>
            <w:pPr>
              <w:tabs>
                <w:tab w:val="left" w:pos="1470"/>
              </w:tabs>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认购/申购/赎回申请拒绝</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hint="eastAsia" w:ascii="仿宋" w:hAnsi="仿宋" w:eastAsia="仿宋"/>
                <w:bCs/>
                <w:szCs w:val="21"/>
              </w:rPr>
              <w:t>华夏理财根据市场情况或理财产品实际投资运作的情况确定理财产品规模上限，认购/申购日若本理财产品实时余额达到理财产品规模上限，</w:t>
            </w:r>
            <w:r>
              <w:rPr>
                <w:rFonts w:hint="eastAsia" w:ascii="仿宋" w:hAnsi="仿宋" w:eastAsia="仿宋"/>
                <w:b/>
                <w:bCs/>
                <w:szCs w:val="21"/>
              </w:rPr>
              <w:t>华夏理财有权拒绝超过本理财产品规模上限部分的认购/申购申请（代销机构可控制自身销售额度）。</w:t>
            </w:r>
          </w:p>
          <w:p>
            <w:pPr>
              <w:tabs>
                <w:tab w:val="left" w:pos="720"/>
              </w:tabs>
              <w:autoSpaceDE w:val="0"/>
              <w:autoSpaceDN w:val="0"/>
              <w:adjustRightInd w:val="0"/>
              <w:snapToGrid w:val="0"/>
              <w:spacing w:line="240" w:lineRule="atLeast"/>
              <w:ind w:right="18" w:firstLine="422" w:firstLineChars="200"/>
              <w:rPr>
                <w:rFonts w:hint="eastAsia" w:ascii="仿宋" w:hAnsi="仿宋" w:eastAsia="仿宋"/>
                <w:b/>
                <w:bCs/>
                <w:szCs w:val="21"/>
              </w:rPr>
            </w:pPr>
            <w:r>
              <w:rPr>
                <w:rFonts w:hint="eastAsia" w:ascii="仿宋" w:hAnsi="仿宋" w:eastAsia="仿宋"/>
                <w:b/>
                <w:szCs w:val="21"/>
              </w:rPr>
              <w:t>华夏理财认为接受大额认购/申购申请可能会影响或损害理财产品投资者权益时，有权拒绝或暂停该认购/申购申请。</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hint="eastAsia" w:ascii="仿宋" w:hAnsi="仿宋" w:eastAsia="仿宋"/>
                <w:bCs/>
                <w:szCs w:val="21"/>
                <w:u w:val="single"/>
              </w:rPr>
              <w:t>10</w:t>
            </w:r>
            <w:r>
              <w:rPr>
                <w:rFonts w:ascii="仿宋" w:hAnsi="仿宋" w:eastAsia="仿宋"/>
                <w:bCs/>
                <w:szCs w:val="21"/>
              </w:rPr>
              <w:t>%为巨额赎回，</w:t>
            </w:r>
            <w:r>
              <w:rPr>
                <w:rFonts w:hint="eastAsia" w:ascii="仿宋" w:hAnsi="仿宋" w:eastAsia="仿宋"/>
                <w:b/>
                <w:bCs/>
                <w:szCs w:val="21"/>
              </w:rPr>
              <w:t>华夏理财有权根据理财产品的资产组合状况决定接受赎回申请或拒绝赎回申请，直至本赎回日开放时间结束。</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Cs/>
                <w:szCs w:val="21"/>
              </w:rPr>
            </w:pPr>
            <w:r>
              <w:rPr>
                <w:rFonts w:hint="eastAsia" w:ascii="仿宋" w:hAnsi="仿宋" w:eastAsia="仿宋"/>
                <w:bCs/>
                <w:szCs w:val="21"/>
              </w:rPr>
              <w:t>若因超过产品规模上限或</w:t>
            </w:r>
            <w:r>
              <w:rPr>
                <w:rFonts w:ascii="仿宋" w:hAnsi="仿宋" w:eastAsia="仿宋"/>
                <w:bCs/>
                <w:szCs w:val="21"/>
              </w:rPr>
              <w:t>发生巨额赎回</w:t>
            </w:r>
            <w:r>
              <w:rPr>
                <w:rFonts w:hint="eastAsia" w:ascii="仿宋" w:hAnsi="仿宋" w:eastAsia="仿宋"/>
                <w:bCs/>
                <w:szCs w:val="21"/>
              </w:rPr>
              <w:t>,华夏理财拒绝认购/申购/赎回</w:t>
            </w:r>
            <w:r>
              <w:rPr>
                <w:rFonts w:ascii="仿宋" w:hAnsi="仿宋" w:eastAsia="仿宋"/>
                <w:bCs/>
                <w:szCs w:val="21"/>
              </w:rPr>
              <w:t>申请时，</w:t>
            </w:r>
            <w:r>
              <w:rPr>
                <w:rFonts w:hint="eastAsia" w:ascii="仿宋" w:hAnsi="仿宋" w:eastAsia="仿宋"/>
                <w:bCs/>
                <w:szCs w:val="21"/>
              </w:rPr>
              <w:t>华夏理财于3个</w:t>
            </w:r>
            <w:r>
              <w:rPr>
                <w:rFonts w:ascii="仿宋" w:hAnsi="仿宋" w:eastAsia="仿宋"/>
                <w:bCs/>
                <w:szCs w:val="21"/>
              </w:rPr>
              <w:t>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披露</w:t>
            </w:r>
            <w:r>
              <w:rPr>
                <w:rFonts w:hint="eastAsia" w:ascii="仿宋" w:hAnsi="仿宋" w:eastAsia="仿宋"/>
                <w:bCs/>
                <w:szCs w:val="21"/>
              </w:rPr>
              <w:t>相应</w:t>
            </w:r>
            <w:r>
              <w:rPr>
                <w:rFonts w:ascii="仿宋" w:hAnsi="仿宋" w:eastAsia="仿宋"/>
                <w:bCs/>
                <w:szCs w:val="21"/>
              </w:rPr>
              <w:t>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投资者可撤销已提交的认购申请，具体规定如下：</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2)通过华夏银行/华夏理财认购的，投资者撤销的本金实时到账；通过其他代销机构认购的，撤销规定以代销机构规定为准。</w:t>
            </w:r>
          </w:p>
          <w:p>
            <w:pPr>
              <w:adjustRightInd w:val="0"/>
              <w:snapToGrid w:val="0"/>
              <w:spacing w:line="240" w:lineRule="atLeast"/>
              <w:ind w:firstLine="42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3)</w:t>
            </w:r>
            <w:r>
              <w:rPr>
                <w:rFonts w:hint="eastAsia" w:ascii="仿宋" w:hAnsi="仿宋" w:eastAsia="仿宋"/>
              </w:rPr>
              <w:t>募集期最后一日17:30（含）之后</w:t>
            </w:r>
            <w:r>
              <w:rPr>
                <w:rFonts w:hint="eastAsia" w:ascii="仿宋" w:hAnsi="仿宋" w:eastAsia="仿宋"/>
                <w:bCs/>
                <w:szCs w:val="21"/>
              </w:rPr>
              <w:t>不能进行撤销。通过其他代销机构认购的，撤销规定以该代销机构规定为准。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投资者可于开放日开放时间内撤销当日已提交的申购、赎回申请，具体规定如下：</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(2</w:t>
            </w:r>
            <w:r>
              <w:rPr>
                <w:rFonts w:hint="eastAsia" w:ascii="仿宋" w:hAnsi="仿宋" w:eastAsia="仿宋"/>
                <w:bCs/>
                <w:szCs w:val="21"/>
              </w:rPr>
              <w:t>)通过华夏银行/华夏理财申购的，投资者撤销的本金实时到账；通过其他代销机构申购的，撤销规定以代销机构规定为准。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w:t>
            </w:r>
            <w:r>
              <w:rPr>
                <w:rFonts w:hint="eastAsia" w:ascii="仿宋" w:hAnsi="仿宋" w:eastAsia="仿宋"/>
              </w:rPr>
              <w:t>开放日17:00（含）之后</w:t>
            </w:r>
            <w:r>
              <w:rPr>
                <w:rFonts w:hint="eastAsia" w:ascii="仿宋" w:hAnsi="仿宋" w:eastAsia="仿宋"/>
                <w:bCs/>
                <w:szCs w:val="21"/>
              </w:rPr>
              <w:t>不能进行撤销。通过其他代销机构申购的，撤销规定以该代销机构规定为准。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0.05%/年，以前一日资产净值为基数，每日计提。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0.30%/年，以前一日资产净值为基数，每日计提。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0.30%/年，以前一日资产净值为基数，每日计提。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等）后，本期产品实现的年化收益率低于或等于5.00%，则管理人不收取超额管理费；年化收益率超过5.00%的部分，50</w:t>
            </w:r>
            <w:r>
              <w:rPr>
                <w:rFonts w:ascii="仿宋" w:hAnsi="仿宋" w:eastAsia="仿宋"/>
                <w:bCs/>
                <w:szCs w:val="21"/>
              </w:rPr>
              <w:t>%</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
                <w:color w:val="000000"/>
                <w:szCs w:val="21"/>
              </w:rPr>
              <w:t>华夏理财有权根据市场情</w:t>
            </w:r>
            <w:r>
              <w:rPr>
                <w:rFonts w:hint="eastAsia" w:ascii="仿宋" w:hAnsi="仿宋" w:eastAsia="仿宋"/>
                <w:b/>
                <w:szCs w:val="21"/>
              </w:rPr>
              <w:t>况及产品运作情况调整上述规则，并至少于生效前3个工作日通过华夏银行官方网站等渠道披露相关公告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每周五后的第3个工作日为单位份额净值公告日，公告每周五单位份额净值，若周五为非工作日，则公告周五上一个工作日的单位份额净值。如当周没有第3个工作日，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cs="宋体"/>
                <w:kern w:val="0"/>
                <w:szCs w:val="21"/>
              </w:rPr>
            </w:pPr>
            <w:r>
              <w:rPr>
                <w:rFonts w:hint="eastAsia" w:ascii="仿宋" w:hAnsi="仿宋" w:eastAsia="仿宋"/>
                <w:bCs/>
                <w:szCs w:val="21"/>
              </w:rPr>
              <w:t>产品</w:t>
            </w:r>
            <w:r>
              <w:rPr>
                <w:rFonts w:ascii="仿宋" w:hAnsi="仿宋" w:eastAsia="仿宋"/>
                <w:bCs/>
                <w:szCs w:val="21"/>
              </w:rPr>
              <w:t>管理人可以在产品存续期</w:t>
            </w:r>
            <w:r>
              <w:rPr>
                <w:rFonts w:hint="eastAsia" w:ascii="仿宋" w:hAnsi="仿宋" w:eastAsia="仿宋"/>
                <w:bCs/>
                <w:szCs w:val="21"/>
              </w:rPr>
              <w:t>根据</w:t>
            </w:r>
            <w:r>
              <w:rPr>
                <w:rFonts w:ascii="仿宋" w:hAnsi="仿宋" w:eastAsia="仿宋"/>
                <w:bCs/>
                <w:szCs w:val="21"/>
              </w:rPr>
              <w:t>投资情况选择分红</w:t>
            </w:r>
            <w:r>
              <w:rPr>
                <w:rFonts w:hint="eastAsia" w:ascii="仿宋" w:hAnsi="仿宋" w:eastAsia="仿宋"/>
                <w:bCs/>
                <w:szCs w:val="21"/>
              </w:rPr>
              <w:t>或</w:t>
            </w:r>
            <w:r>
              <w:rPr>
                <w:rFonts w:ascii="仿宋" w:hAnsi="仿宋" w:eastAsia="仿宋"/>
                <w:bCs/>
                <w:szCs w:val="21"/>
              </w:rPr>
              <w:t>不分红</w:t>
            </w:r>
            <w:r>
              <w:rPr>
                <w:rFonts w:hint="eastAsia" w:ascii="仿宋" w:hAnsi="仿宋" w:eastAsia="仿宋"/>
                <w:bCs/>
                <w:szCs w:val="21"/>
              </w:rPr>
              <w:t>，若</w:t>
            </w:r>
            <w:r>
              <w:rPr>
                <w:rFonts w:ascii="仿宋" w:hAnsi="仿宋" w:eastAsia="仿宋"/>
                <w:bCs/>
                <w:szCs w:val="21"/>
              </w:rPr>
              <w:t>分红，将以现金</w:t>
            </w:r>
            <w:r>
              <w:rPr>
                <w:rFonts w:hint="eastAsia" w:ascii="仿宋" w:hAnsi="仿宋" w:eastAsia="仿宋"/>
                <w:bCs/>
                <w:szCs w:val="21"/>
              </w:rPr>
              <w:t>分红或</w:t>
            </w:r>
            <w:r>
              <w:rPr>
                <w:rFonts w:ascii="仿宋" w:hAnsi="仿宋" w:eastAsia="仿宋"/>
                <w:bCs/>
                <w:szCs w:val="21"/>
              </w:rPr>
              <w:t>红利再投资方式</w:t>
            </w:r>
            <w:r>
              <w:rPr>
                <w:rFonts w:hint="eastAsia" w:ascii="仿宋" w:hAnsi="仿宋" w:eastAsia="仿宋"/>
                <w:bCs/>
                <w:szCs w:val="21"/>
              </w:rPr>
              <w:t>进行，</w:t>
            </w:r>
            <w:r>
              <w:rPr>
                <w:rFonts w:ascii="仿宋" w:hAnsi="仿宋" w:eastAsia="仿宋"/>
                <w:bCs/>
                <w:szCs w:val="21"/>
              </w:rPr>
              <w:t>具体以公告为准</w:t>
            </w:r>
            <w:r>
              <w:rPr>
                <w:rFonts w:hint="eastAsia" w:ascii="仿宋" w:hAnsi="仿宋" w:eastAsia="仿宋"/>
                <w:bCs/>
                <w:szCs w:val="21"/>
              </w:rPr>
              <w:t>。</w:t>
            </w:r>
            <w:r>
              <w:rPr>
                <w:rFonts w:hint="eastAsia" w:ascii="仿宋" w:hAnsi="仿宋" w:eastAsia="仿宋" w:cs="宋体"/>
                <w:kern w:val="0"/>
                <w:szCs w:val="21"/>
              </w:rPr>
              <w:t>本理财产品</w:t>
            </w:r>
            <w:r>
              <w:rPr>
                <w:rFonts w:ascii="仿宋" w:hAnsi="仿宋" w:eastAsia="仿宋" w:cs="宋体"/>
                <w:kern w:val="0"/>
                <w:szCs w:val="21"/>
              </w:rPr>
              <w:t>分红，</w:t>
            </w:r>
            <w:r>
              <w:rPr>
                <w:rFonts w:hint="eastAsia" w:ascii="仿宋" w:hAnsi="仿宋" w:eastAsia="仿宋" w:cs="宋体"/>
                <w:kern w:val="0"/>
                <w:szCs w:val="21"/>
              </w:rPr>
              <w:t>将于</w:t>
            </w:r>
            <w:r>
              <w:rPr>
                <w:rFonts w:ascii="仿宋" w:hAnsi="仿宋" w:eastAsia="仿宋" w:cs="宋体"/>
                <w:kern w:val="0"/>
                <w:szCs w:val="21"/>
              </w:rPr>
              <w:t>分红</w:t>
            </w:r>
            <w:r>
              <w:rPr>
                <w:rFonts w:hint="eastAsia" w:ascii="仿宋" w:hAnsi="仿宋" w:eastAsia="仿宋" w:cs="宋体"/>
                <w:kern w:val="0"/>
                <w:szCs w:val="21"/>
              </w:rPr>
              <w:t>日</w:t>
            </w:r>
            <w:r>
              <w:rPr>
                <w:rFonts w:ascii="仿宋" w:hAnsi="仿宋" w:eastAsia="仿宋" w:cs="宋体"/>
                <w:kern w:val="0"/>
                <w:szCs w:val="21"/>
              </w:rPr>
              <w:t>前</w:t>
            </w:r>
            <w:r>
              <w:rPr>
                <w:rFonts w:hint="eastAsia" w:ascii="仿宋" w:hAnsi="仿宋" w:eastAsia="仿宋"/>
                <w:bCs/>
                <w:szCs w:val="21"/>
              </w:rPr>
              <w:t>3</w:t>
            </w:r>
            <w:r>
              <w:rPr>
                <w:rFonts w:hint="eastAsia" w:ascii="仿宋" w:hAnsi="仿宋" w:eastAsia="仿宋" w:cs="宋体"/>
                <w:kern w:val="0"/>
                <w:szCs w:val="21"/>
              </w:rPr>
              <w:t>个</w:t>
            </w:r>
            <w:r>
              <w:rPr>
                <w:rFonts w:ascii="仿宋" w:hAnsi="仿宋" w:eastAsia="仿宋" w:cs="宋体"/>
                <w:kern w:val="0"/>
                <w:szCs w:val="21"/>
              </w:rPr>
              <w:t>工作日通过华夏银行官方网站等渠道</w:t>
            </w:r>
            <w:r>
              <w:rPr>
                <w:rFonts w:hint="eastAsia" w:ascii="仿宋" w:hAnsi="仿宋" w:eastAsia="仿宋" w:cs="宋体"/>
                <w:kern w:val="0"/>
                <w:szCs w:val="21"/>
              </w:rPr>
              <w:t>公布</w:t>
            </w:r>
            <w:r>
              <w:rPr>
                <w:rFonts w:ascii="仿宋" w:hAnsi="仿宋" w:eastAsia="仿宋" w:cs="宋体"/>
                <w:kern w:val="0"/>
                <w:szCs w:val="21"/>
              </w:rPr>
              <w:t>分红</w:t>
            </w:r>
            <w:r>
              <w:rPr>
                <w:rFonts w:hint="eastAsia" w:ascii="仿宋" w:hAnsi="仿宋" w:eastAsia="仿宋" w:cs="宋体"/>
                <w:kern w:val="0"/>
                <w:szCs w:val="21"/>
              </w:rPr>
              <w:t>方案</w:t>
            </w:r>
            <w:r>
              <w:rPr>
                <w:rFonts w:ascii="仿宋" w:hAnsi="仿宋" w:eastAsia="仿宋" w:cs="宋体"/>
                <w:kern w:val="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华夏银行</w:t>
            </w:r>
            <w:r>
              <w:rPr>
                <w:rFonts w:ascii="仿宋" w:hAnsi="仿宋" w:eastAsia="仿宋"/>
                <w:b/>
                <w:szCs w:val="21"/>
              </w:rPr>
              <w:t>官方网站等渠道公告</w:t>
            </w:r>
            <w:r>
              <w:rPr>
                <w:rFonts w:hint="eastAsia" w:ascii="仿宋" w:hAnsi="仿宋" w:eastAsia="仿宋"/>
                <w:bCs/>
                <w:szCs w:val="21"/>
              </w:rPr>
              <w:t>。除本说明书第十部分“特别提示”所列情形外，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hint="eastAsia"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当本理财产品份额低于1000万份时；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华夏银行</w:t>
            </w:r>
            <w:r>
              <w:rPr>
                <w:rFonts w:ascii="仿宋" w:hAnsi="仿宋" w:eastAsia="仿宋"/>
                <w:bCs/>
                <w:szCs w:val="21"/>
              </w:rPr>
              <w:t>官方网站等渠道公告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根据法律法规规定，本理财产品在资产管理、运营、处置过程中产生收入应缴纳和承担税收和规费的，由本产品管理人直接从理财资产中扣付缴纳。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numPr>
                <w:ilvl w:val="0"/>
                <w:numId w:val="1"/>
              </w:numPr>
              <w:adjustRightInd w:val="0"/>
              <w:snapToGrid w:val="0"/>
              <w:spacing w:line="240" w:lineRule="atLeast"/>
              <w:ind w:firstLine="420" w:firstLineChars="200"/>
              <w:rPr>
                <w:rFonts w:hint="eastAsia" w:ascii="仿宋" w:hAnsi="仿宋" w:eastAsia="仿宋" w:cs="宋体"/>
                <w:kern w:val="0"/>
                <w:szCs w:val="21"/>
              </w:rPr>
            </w:pP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rPr>
                <w:rFonts w:hint="eastAsia" w:ascii="仿宋" w:hAnsi="仿宋" w:eastAsia="仿宋" w:cs="宋体"/>
                <w:kern w:val="0"/>
                <w:szCs w:val="21"/>
              </w:rPr>
            </w:pPr>
            <w:r>
              <w:rPr>
                <w:rFonts w:hint="eastAsia" w:ascii="仿宋" w:hAnsi="仿宋" w:eastAsia="仿宋" w:cs="宋体"/>
                <w:kern w:val="0"/>
                <w:szCs w:val="21"/>
              </w:rPr>
              <w:t xml:space="preserve">    2.由华夏理财销售的，募集期</w:t>
            </w:r>
            <w:r>
              <w:rPr>
                <w:rFonts w:ascii="仿宋" w:hAnsi="仿宋" w:eastAsia="仿宋" w:cs="宋体"/>
                <w:kern w:val="0"/>
                <w:szCs w:val="21"/>
              </w:rPr>
              <w:t>认购</w:t>
            </w:r>
            <w:r>
              <w:rPr>
                <w:rFonts w:hint="eastAsia" w:ascii="仿宋" w:hAnsi="仿宋" w:eastAsia="仿宋" w:cs="宋体"/>
                <w:kern w:val="0"/>
                <w:szCs w:val="21"/>
              </w:rPr>
              <w:t>确认</w:t>
            </w:r>
            <w:r>
              <w:rPr>
                <w:rFonts w:ascii="仿宋" w:hAnsi="仿宋" w:eastAsia="仿宋" w:cs="宋体"/>
                <w:kern w:val="0"/>
                <w:szCs w:val="21"/>
              </w:rPr>
              <w:t>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kern w:val="0"/>
                <w:szCs w:val="21"/>
              </w:rPr>
            </w:pPr>
            <w:r>
              <w:rPr>
                <w:rFonts w:hint="eastAsia" w:ascii="仿宋" w:hAnsi="仿宋" w:eastAsia="仿宋" w:cs="宋体"/>
                <w:kern w:val="0"/>
                <w:szCs w:val="21"/>
              </w:rPr>
              <w:t>3.由</w:t>
            </w:r>
            <w:r>
              <w:rPr>
                <w:rFonts w:ascii="仿宋" w:hAnsi="仿宋" w:eastAsia="仿宋" w:cs="宋体"/>
                <w:kern w:val="0"/>
                <w:szCs w:val="21"/>
              </w:rPr>
              <w:t>其他代销机构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color w:val="000000"/>
                <w:kern w:val="0"/>
                <w:szCs w:val="21"/>
              </w:rPr>
            </w:pPr>
            <w:r>
              <w:rPr>
                <w:rFonts w:hint="eastAsia" w:ascii="仿宋" w:hAnsi="仿宋" w:eastAsia="仿宋" w:cs="宋体"/>
                <w:kern w:val="0"/>
                <w:szCs w:val="21"/>
              </w:rPr>
              <w:t>4.理财产品赎回申请/到期/终止日（不含）至资金到账日（不含）之间，投资者资金不计存款利息及理财收益。</w:t>
            </w:r>
          </w:p>
        </w:tc>
      </w:tr>
    </w:tbl>
    <w:p>
      <w:pPr>
        <w:pStyle w:val="17"/>
        <w:snapToGrid w:val="0"/>
        <w:spacing w:after="156" w:afterLines="50" w:line="400" w:lineRule="exact"/>
        <w:ind w:firstLine="482" w:firstLineChars="200"/>
        <w:jc w:val="both"/>
        <w:rPr>
          <w:rFonts w:hint="eastAsia" w:ascii="Times New Roman" w:eastAsia="黑体" w:cs="Times New Roman"/>
          <w:b/>
          <w:color w:val="auto"/>
        </w:rPr>
      </w:pP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本产品主要投资于权益类资产、固定收益类资产及资产管理产品，其中资产管理产品需符合产品约定的投资范围，固定收益类资产包括货币市场工具、标准化债权类资产、非标准化债权类资产等。</w:t>
      </w:r>
    </w:p>
    <w:p>
      <w:pPr>
        <w:widowControl/>
        <w:adjustRightInd w:val="0"/>
        <w:snapToGrid w:val="0"/>
        <w:spacing w:line="276" w:lineRule="auto"/>
        <w:ind w:firstLine="480" w:firstLineChars="200"/>
        <w:contextualSpacing/>
        <w:rPr>
          <w:rFonts w:hint="eastAsia" w:ascii="微软简仿宋" w:eastAsia="微软简仿宋"/>
          <w:sz w:val="24"/>
        </w:rPr>
      </w:pPr>
      <w:r>
        <w:rPr>
          <w:rFonts w:hint="eastAsia" w:ascii="微软简仿宋" w:eastAsia="微软简仿宋"/>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其中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货币市场工具包括但不限于银行存款、大额存单、同业存单（CD）、短期融资券、超短期融资券、剩余期限在397天以内（含397天）的债券、期限在一年以内（含一年）的债券回购、期限在一年以内（含一年）的中央银行票据、货币市场基金以及中国人民银行、中国银保监会认可的其他具有良好流动性的金融工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类公募证券投资基金，以及《标准化债权类资产认定规则》认定的标准化债权类资产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非标准化债权类资产包括《标准化债权类资产认定规则》认定的非标准化债权类资产。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产品的投资范围可能随国家法律法规及监管政策的变化而调整，如法律法规或监管机构以后允许银行理财产品投资其他品种，可在公告后，将其纳入投资范围，投资比例将遵循法律法规或相关规定。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3"/>
        <w:tblW w:w="8063" w:type="dxa"/>
        <w:tblCellSpacing w:w="0" w:type="dxa"/>
        <w:tblInd w:w="-15"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2884"/>
        <w:gridCol w:w="5179"/>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权益类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80%-100%</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380" w:hRule="atLeast"/>
          <w:tblCellSpacing w:w="0" w:type="dxa"/>
        </w:trPr>
        <w:tc>
          <w:tcPr>
            <w:tcW w:w="288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hint="eastAsia" w:eastAsia="仿宋"/>
                <w:color w:val="000000"/>
                <w:kern w:val="0"/>
                <w:sz w:val="24"/>
              </w:rPr>
            </w:pPr>
            <w:r>
              <w:rPr>
                <w:rFonts w:hint="eastAsia" w:ascii="仿宋" w:hAnsi="仿宋" w:eastAsia="仿宋" w:cs="宋体"/>
                <w:color w:val="000000"/>
                <w:kern w:val="0"/>
                <w:sz w:val="24"/>
              </w:rPr>
              <w:t>固定收益类</w:t>
            </w:r>
          </w:p>
        </w:tc>
        <w:tc>
          <w:tcPr>
            <w:tcW w:w="517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0%-20%（不含）</w:t>
            </w:r>
          </w:p>
        </w:tc>
      </w:tr>
    </w:tbl>
    <w:p>
      <w:pPr>
        <w:widowControl/>
        <w:adjustRightInd w:val="0"/>
        <w:snapToGrid w:val="0"/>
        <w:spacing w:line="276" w:lineRule="auto"/>
        <w:ind w:firstLine="482" w:firstLineChars="200"/>
        <w:contextualSpacing/>
        <w:rPr>
          <w:rFonts w:ascii="仿宋" w:hAnsi="仿宋" w:eastAsia="仿宋" w:cs="宋体"/>
          <w:color w:val="000000"/>
          <w:kern w:val="0"/>
          <w:sz w:val="24"/>
        </w:rPr>
      </w:pPr>
      <w:r>
        <w:rPr>
          <w:rFonts w:hint="eastAsia" w:ascii="仿宋" w:hAnsi="仿宋" w:eastAsia="仿宋" w:cs="宋体"/>
          <w:b/>
          <w:bCs/>
          <w:color w:val="000000"/>
          <w:kern w:val="0"/>
          <w:sz w:val="24"/>
        </w:rPr>
        <w:t>如资产类别及投资比例发生调整，产品管理人将于调整事项生效前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个工作日通过华夏银行官方网站等渠道予以公布</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r>
        <w:rPr>
          <w:rFonts w:hint="eastAsia" w:ascii="仿宋" w:hAnsi="仿宋" w:eastAsia="仿宋" w:cs="宋体"/>
          <w:color w:val="000000"/>
          <w:kern w:val="0"/>
          <w:sz w:val="24"/>
        </w:rPr>
        <w:t>非因产品管理人主观因素导致本理财产品突破上述投资比例限制的，本理财产品管理人应当在所投资的</w:t>
      </w:r>
      <w:r>
        <w:rPr>
          <w:rFonts w:hint="eastAsia" w:ascii="仿宋" w:hAnsi="仿宋" w:eastAsia="仿宋"/>
          <w:sz w:val="24"/>
        </w:rPr>
        <w:t>流动性受限资产可出售、可转让或者恢复交易的10</w:t>
      </w:r>
      <w:r>
        <w:rPr>
          <w:rFonts w:hint="eastAsia" w:ascii="仿宋" w:hAnsi="仿宋" w:eastAsia="仿宋" w:cs="宋体"/>
          <w:color w:val="000000"/>
          <w:kern w:val="0"/>
          <w:sz w:val="24"/>
        </w:rPr>
        <w:t>个工作日内将本理财产品调整至上述投资比例内，监管规定的特殊情形除外。</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（一）基本信息</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（二）主要职责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3.按照托管协议约定和理财产品</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4.建立与理财产品管理人的对账机制，复核、审查理财产品资金头寸、资产账目、资产净值、认购和赎回价格等数据，及时核查认购、赎回以及投资资金的支付和到账情况；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5.监督理财产品投资运作，发现理财产品违反法律、行政法规、规章规定或合同约定投资的，应当拒绝执行，及时通知理财产品管理人并报告银行业监督管理机构；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9.国务院银行业监督管理机构规定的其他职责。</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通过华夏银行/华夏理财购买的，</w:t>
      </w:r>
      <w:r>
        <w:rPr>
          <w:rFonts w:ascii="仿宋" w:hAnsi="仿宋" w:eastAsia="仿宋" w:cs="宋体"/>
          <w:kern w:val="0"/>
          <w:sz w:val="24"/>
        </w:rPr>
        <w:t>投资者可通过</w:t>
      </w:r>
      <w:r>
        <w:rPr>
          <w:rFonts w:hint="eastAsia" w:ascii="仿宋" w:hAnsi="仿宋" w:eastAsia="仿宋"/>
          <w:sz w:val="24"/>
        </w:rPr>
        <w:t>柜台、手机银行、网上银行</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；通过其他代销机构购买的，购买渠道以代销机构规定为准</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.如发生华夏理财</w:t>
      </w:r>
      <w:r>
        <w:rPr>
          <w:rFonts w:ascii="仿宋" w:hAnsi="仿宋" w:eastAsia="仿宋" w:cs="宋体"/>
          <w:color w:val="000000"/>
          <w:kern w:val="0"/>
          <w:sz w:val="24"/>
        </w:rPr>
        <w:t>认为</w:t>
      </w:r>
      <w:r>
        <w:rPr>
          <w:rFonts w:hint="eastAsia" w:ascii="仿宋" w:hAnsi="仿宋" w:eastAsia="仿宋" w:cs="宋体"/>
          <w:color w:val="000000"/>
          <w:kern w:val="0"/>
          <w:sz w:val="24"/>
        </w:rPr>
        <w:t>继续认购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r>
        <w:rPr>
          <w:rFonts w:hint="eastAsia" w:ascii="仿宋" w:hAnsi="仿宋" w:eastAsia="仿宋" w:cs="宋体"/>
          <w:color w:val="000000"/>
          <w:kern w:val="0"/>
          <w:sz w:val="24"/>
        </w:rPr>
        <w:t>可能</w:t>
      </w:r>
      <w:r>
        <w:rPr>
          <w:rFonts w:ascii="仿宋" w:hAnsi="仿宋" w:eastAsia="仿宋" w:cs="宋体"/>
          <w:color w:val="000000"/>
          <w:kern w:val="0"/>
          <w:sz w:val="24"/>
        </w:rPr>
        <w:t>影响到投资者利益</w:t>
      </w:r>
      <w:r>
        <w:rPr>
          <w:rFonts w:hint="eastAsia" w:ascii="仿宋" w:hAnsi="仿宋" w:eastAsia="仿宋" w:cs="宋体"/>
          <w:color w:val="000000"/>
          <w:kern w:val="0"/>
          <w:sz w:val="24"/>
        </w:rPr>
        <w:t>的事件</w:t>
      </w:r>
      <w:r>
        <w:rPr>
          <w:rFonts w:ascii="仿宋" w:hAnsi="仿宋" w:eastAsia="仿宋" w:cs="宋体"/>
          <w:color w:val="000000"/>
          <w:kern w:val="0"/>
          <w:sz w:val="24"/>
        </w:rPr>
        <w:t>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赎回并于</w:t>
      </w:r>
      <w:r>
        <w:rPr>
          <w:rFonts w:hint="eastAsia" w:ascii="仿宋" w:hAnsi="仿宋" w:eastAsia="仿宋" w:cs="宋体"/>
          <w:color w:val="000000"/>
          <w:kern w:val="0"/>
          <w:sz w:val="24"/>
        </w:rPr>
        <w:t>2个</w:t>
      </w:r>
      <w:r>
        <w:rPr>
          <w:rFonts w:ascii="仿宋" w:hAnsi="仿宋" w:eastAsia="仿宋" w:cs="宋体"/>
          <w:color w:val="000000"/>
          <w:kern w:val="0"/>
          <w:sz w:val="24"/>
        </w:rPr>
        <w:t>工作日</w:t>
      </w:r>
      <w:r>
        <w:rPr>
          <w:rFonts w:hint="eastAsia" w:ascii="仿宋" w:hAnsi="仿宋" w:eastAsia="仿宋" w:cs="宋体"/>
          <w:color w:val="000000"/>
          <w:kern w:val="0"/>
          <w:sz w:val="24"/>
        </w:rPr>
        <w:t>内</w:t>
      </w:r>
      <w:r>
        <w:rPr>
          <w:rFonts w:ascii="仿宋" w:hAnsi="仿宋" w:eastAsia="仿宋" w:cs="宋体"/>
          <w:color w:val="000000"/>
          <w:kern w:val="0"/>
          <w:sz w:val="24"/>
        </w:rPr>
        <w:t>公告相应</w:t>
      </w:r>
      <w:r>
        <w:rPr>
          <w:rFonts w:hint="eastAsia" w:ascii="仿宋" w:hAnsi="仿宋" w:eastAsia="仿宋" w:cs="宋体"/>
          <w:color w:val="000000"/>
          <w:kern w:val="0"/>
          <w:sz w:val="24"/>
        </w:rPr>
        <w:t>信息</w:t>
      </w:r>
      <w:r>
        <w:rPr>
          <w:rFonts w:ascii="仿宋" w:hAnsi="仿宋" w:eastAsia="仿宋" w:cs="宋体"/>
          <w:color w:val="000000"/>
          <w:kern w:val="0"/>
          <w:sz w:val="24"/>
        </w:rPr>
        <w:t>。</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w:t>
      </w:r>
      <w:r>
        <w:rPr>
          <w:rFonts w:ascii="仿宋" w:hAnsi="仿宋" w:eastAsia="仿宋" w:cs="宋体"/>
          <w:color w:val="000000"/>
          <w:kern w:val="0"/>
          <w:sz w:val="24"/>
        </w:rPr>
        <w:t>不可抗力原因导致本理财产品无法正常运作时，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hint="eastAsia"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例2：客户在本理财产品的开放日申请购买了100,000元的本理财产品，如购买当日产品的份额净值为1.0110，则该笔购买申请确认后，该笔购买申请对应的理财产品份额为：100,000/1.0110=98,911.96 份。</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华夏理财郑重提示：本理财产品是非保本浮动收益净值型理财产品，不保证理财本金和收益。投资者的本金和收益可能会因市场变动而蒙受损失。投资者应充分认识投资风险，谨慎投资。</w:t>
      </w:r>
    </w:p>
    <w:p>
      <w:pPr>
        <w:autoSpaceDE w:val="0"/>
        <w:autoSpaceDN w:val="0"/>
        <w:adjustRightInd w:val="0"/>
        <w:snapToGrid w:val="0"/>
        <w:spacing w:line="276" w:lineRule="auto"/>
        <w:ind w:firstLine="482" w:firstLineChars="200"/>
        <w:contextualSpacing/>
        <w:rPr>
          <w:rFonts w:hint="eastAsia"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hint="eastAsia" w:eastAsia="黑体"/>
          <w:b/>
          <w:color w:val="000000"/>
          <w:sz w:val="24"/>
        </w:rPr>
      </w:pPr>
      <w:r>
        <w:rPr>
          <w:rFonts w:hint="eastAsia" w:eastAsia="黑体"/>
          <w:b/>
          <w:color w:val="000000"/>
          <w:sz w:val="24"/>
        </w:rPr>
        <w:t>本产品说明书中的任何业绩基准、收益示例或类似表述均不具有法律约束力，不代表投资者可能获得的实际收益，亦不构成华夏理财/代销机构对本理财产品的任何收益承诺，仅供投资者期初作为投资决定的参考。</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（一）估值对象</w:t>
      </w:r>
    </w:p>
    <w:p>
      <w:pPr>
        <w:autoSpaceDE w:val="0"/>
        <w:autoSpaceDN w:val="0"/>
        <w:adjustRightInd w:val="0"/>
        <w:snapToGrid w:val="0"/>
        <w:spacing w:line="276" w:lineRule="auto"/>
        <w:ind w:firstLine="480" w:firstLineChars="200"/>
        <w:rPr>
          <w:rFonts w:hint="eastAsia" w:ascii="仿宋" w:hAnsi="仿宋" w:eastAsia="仿宋" w:cs="仿宋"/>
          <w:sz w:val="24"/>
        </w:rPr>
      </w:pPr>
      <w:r>
        <w:rPr>
          <w:rFonts w:hint="eastAsia" w:ascii="仿宋" w:hAnsi="仿宋" w:eastAsia="仿宋" w:cs="仿宋"/>
          <w:sz w:val="24"/>
        </w:rPr>
        <w:t>本理财产品所投资的银行存款、货币市场工具、债券等标准化债权类资产、非标准化债权类资产、权益类资产以及资产管理产品等资产。</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（二）估值方法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1.证券交易所上市的有价证券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在交易所市场上市的含有转股权的债券（如可转换债券、可交换债券等）等，选取每日收盘价减去所含的应收利息得到的净价进行估值。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2.处于未上市期间的有价证券应区分如下情况处理：</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（1）送股、转增股、配股和公开增发的新股，按估值日在证券交易所挂牌的同一股票的市价（收盘价）估值；该日无交易的，以最近一日的市价（收盘价）估值；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（3）优先股采用估值技术确认公允价值，在估值技术难以可靠计量公允价值的情况下，采用管理人和托管人共同认可的第三方机构提供的估值，或双方共同认可的估值；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4.同一债券同时在两个或两个以上市场交易的，按债券所处的市场分别估值。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5.证券投资基金的估值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（1）场外申赎的开放式基金（包括上市开放式基金LOF）以估值日前一交易日基金净值估值，估值日前一交易日开放式基金份额净值未公布的，以此前最近一个交易日基金份额净值计算；</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（2）上市流通的证券投资基金（包括场内买入的ETF、封闭式基金、上市定期开放式基金）按估值日其所在证券交易所的收盘价估值；估值日无交易的，以最近一个交易日的收盘价估值；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（3）货币基金按前一估值日后至估值日期间（含节假日）发布的万份收益计提估值日收益。</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6.银行存款（活期、定期）及证券资金账户存款以本金列示，按照约定利率在持有期内逐日计提应收利息，在利息到账日以实收利息入账。</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7.债券回购和具有固定回报的买入返售金融资产：以买入/外放成本列示，按约定收益率逐日计提收益。</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8.期货以估值日期货交易所的当日结算价估值，估值当日无结算价的，且最近交易日后经济环境未发生重大变化的，采用最近交易日结算价估值。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9.汇率估值方法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10.场内期权以估值日交易所的结算价估值，该日无交易的，以最近一日的结算价为准。</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11.非标准化债权类资产采用估值技术确认公允价值，在估值技术难以可靠计量公允价值的情况下，按照管理人和托管人共同认可的估值。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12.本系列产品所投资的资产管理产品以估值日公布的产品单位净值进行估值，估值日产品单位净值未公布的，以最近一个工作日产品单位净值计算。</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13.相关法律法规以及监管部门有强制规定的，从其规定。如有新增事项或变更事项，依法按最新规定计算。没有相关规定的，由产品管理人与托管人协商确定计算方法。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autoSpaceDE w:val="0"/>
        <w:autoSpaceDN w:val="0"/>
        <w:adjustRightInd w:val="0"/>
        <w:snapToGrid w:val="0"/>
        <w:spacing w:line="276" w:lineRule="auto"/>
        <w:ind w:firstLine="482" w:firstLineChars="200"/>
        <w:rPr>
          <w:rFonts w:hint="eastAsia" w:ascii="仿宋" w:hAnsi="仿宋" w:eastAsia="仿宋"/>
        </w:rPr>
      </w:pPr>
      <w:r>
        <w:rPr>
          <w:rFonts w:hint="eastAsia" w:ascii="仿宋" w:hAnsi="仿宋" w:eastAsia="仿宋" w:cs="宋体"/>
          <w:b/>
          <w:bCs/>
          <w:color w:val="000000"/>
          <w:kern w:val="0"/>
          <w:sz w:val="24"/>
        </w:rPr>
        <w:t>以上“理财产品估值”章节所列的投资品种不代表本产品的实际投资范围，本产品实际可投资范围以产品说明书“投资对象”章节列示为准。</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（三）暂停估值</w:t>
      </w:r>
    </w:p>
    <w:p>
      <w:pPr>
        <w:pStyle w:val="17"/>
        <w:snapToGrid w:val="0"/>
        <w:spacing w:line="276" w:lineRule="auto"/>
        <w:ind w:firstLine="480" w:firstLineChars="200"/>
        <w:contextualSpacing/>
        <w:rPr>
          <w:rFonts w:hint="eastAsia" w:ascii="仿宋" w:hAnsi="仿宋" w:eastAsia="仿宋"/>
          <w:b/>
          <w:bCs/>
        </w:rPr>
      </w:pPr>
      <w:r>
        <w:rPr>
          <w:rFonts w:hint="eastAsia" w:ascii="仿宋" w:hAnsi="仿宋" w:eastAsia="仿宋"/>
          <w:b/>
          <w:bCs/>
        </w:rPr>
        <w:t>在发生下列情形之一的，产品管理人可以暂停本产品估值，并采取延缓支付赎回款项或暂停接受理财产品认购、赎回申请等措施：</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1．理财产品投资所涉及的市场遇法定节假日或因其他原因暂停营业时。</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2．因不可抗力或其他情形致使产品管理人、产品托管人无法准确评估资产价值时。</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产品管理人为保障投资者的利益，经与产品托管人协商一致，理财产品应当暂停估值。</w:t>
      </w:r>
    </w:p>
    <w:p>
      <w:pPr>
        <w:pStyle w:val="17"/>
        <w:snapToGrid w:val="0"/>
        <w:spacing w:after="156" w:afterLines="50" w:line="400" w:lineRule="exact"/>
        <w:ind w:firstLine="482" w:firstLineChars="200"/>
        <w:jc w:val="both"/>
        <w:rPr>
          <w:rFonts w:hint="eastAsia" w:ascii="仿宋" w:hAnsi="仿宋" w:eastAsia="仿宋"/>
        </w:rPr>
      </w:pPr>
      <w:r>
        <w:rPr>
          <w:rFonts w:hint="eastAsia" w:ascii="仿宋" w:hAnsi="仿宋" w:eastAsia="仿宋"/>
        </w:rPr>
        <w:t>4．监管部门和产品管理人认定的其它情形。</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17"/>
        <w:snapToGrid w:val="0"/>
        <w:spacing w:line="276" w:lineRule="auto"/>
        <w:ind w:firstLine="480" w:firstLineChars="200"/>
        <w:contextualSpacing/>
        <w:jc w:val="both"/>
        <w:rPr>
          <w:rFonts w:hint="eastAsia"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投资组合运作情况以及投资管理方投资能力等</w:t>
      </w:r>
      <w:r>
        <w:rPr>
          <w:rFonts w:ascii="Times New Roman" w:eastAsia="黑体" w:cs="Times New Roman"/>
          <w:b/>
        </w:rPr>
        <w:t>因素</w:t>
      </w:r>
      <w:r>
        <w:rPr>
          <w:rFonts w:hint="eastAsia" w:ascii="Times New Roman" w:eastAsia="黑体" w:cs="Times New Roman"/>
          <w:b/>
        </w:rPr>
        <w:t>的影响，在最不利的情况下，本理财产品理财收益率可能为零，并有可能损失本金，由此产生的风险由投资者自行承担。</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17"/>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。除本产品说明书规定情形以外，投资</w:t>
      </w:r>
      <w:r>
        <w:rPr>
          <w:rFonts w:eastAsia="黑体"/>
          <w:b/>
        </w:rPr>
        <w:t>封闭期内不受理</w:t>
      </w:r>
      <w:r>
        <w:rPr>
          <w:rFonts w:hint="eastAsia" w:eastAsia="黑体"/>
          <w:b/>
        </w:rPr>
        <w:t>投资者</w:t>
      </w:r>
      <w:r>
        <w:rPr>
          <w:rFonts w:eastAsia="黑体"/>
          <w:b/>
        </w:rPr>
        <w:t>任何形式的提前赎回申请；</w:t>
      </w:r>
      <w:r>
        <w:rPr>
          <w:rFonts w:hint="eastAsia" w:ascii="Times New Roman" w:eastAsia="黑体" w:cs="Times New Roman"/>
          <w:b/>
        </w:rPr>
        <w:t>若发生巨额赎回，华夏理财有权根据理财产品的资产组合状况决定接受赎回申请</w:t>
      </w:r>
      <w:r>
        <w:rPr>
          <w:rFonts w:hint="eastAsia" w:ascii="仿宋" w:hAnsi="仿宋" w:eastAsia="仿宋"/>
          <w:bCs/>
          <w:szCs w:val="21"/>
        </w:rPr>
        <w:t>、</w:t>
      </w:r>
      <w:r>
        <w:rPr>
          <w:rFonts w:hint="eastAsia" w:ascii="Times New Roman" w:eastAsia="黑体" w:cs="Times New Roman"/>
          <w:b/>
        </w:rPr>
        <w:t>拒绝赎回申请</w:t>
      </w:r>
      <w:r>
        <w:rPr>
          <w:rFonts w:hint="eastAsia" w:ascii="仿宋" w:hAnsi="仿宋" w:eastAsia="仿宋"/>
          <w:bCs/>
          <w:szCs w:val="21"/>
        </w:rPr>
        <w:t>、</w:t>
      </w:r>
      <w:r>
        <w:rPr>
          <w:rFonts w:hint="eastAsia" w:ascii="Times New Roman" w:eastAsia="黑体" w:cs="Times New Roman"/>
          <w:b/>
        </w:rPr>
        <w:t>以比例确认等方式对赎回申请给予部分确认</w:t>
      </w:r>
      <w:r>
        <w:rPr>
          <w:rFonts w:eastAsia="黑体"/>
          <w:b/>
        </w:rPr>
        <w:t>。以上情形均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基准、收益示例或类似表述均不具有法律约束力，不代表投资者可能获得的实际收益，亦不构成华夏理财/代销机构对本理财产品的任何收益承诺，仅供投资者期初作为投资决定的参考。</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损失外，汇率变化会带来额外的损失或收益，从而对投资者收益产生影响；反之亦然。</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17"/>
        <w:snapToGrid w:val="0"/>
        <w:spacing w:line="276" w:lineRule="auto"/>
        <w:ind w:firstLine="482" w:firstLineChars="200"/>
        <w:contextualSpacing/>
        <w:jc w:val="both"/>
        <w:rPr>
          <w:rFonts w:hint="eastAsia"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情形，华夏理财有权提前终止本理财产品，投资者可能无法实现期初预计的收益、收益为零甚至损失理财本金。</w:t>
      </w:r>
    </w:p>
    <w:p>
      <w:pPr>
        <w:pStyle w:val="17"/>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（十）延期风险：对于有确定到期日的产品，</w:t>
      </w:r>
      <w:r>
        <w:rPr>
          <w:rFonts w:eastAsia="黑体"/>
          <w:b/>
        </w:rPr>
        <w:t>如因与理财产品投资资产相关的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w:t>
      </w:r>
      <w:r>
        <w:rPr>
          <w:rFonts w:eastAsia="黑体"/>
          <w:b/>
        </w:rPr>
        <w:t>本金及理财收益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的信息。投资者应根据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。因投资者未及时告知导致的信息传递风险由投资者自行承担。</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（十二）其他风险：指由于自然灾害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导致理财资产收益降低或损失，甚至影响理财产品的受理、投资、偿还等的正常进行，进而影响理财产品的资金收益和本金安全。</w:t>
      </w:r>
    </w:p>
    <w:p>
      <w:pPr>
        <w:pStyle w:val="17"/>
        <w:snapToGrid w:val="0"/>
        <w:spacing w:line="276" w:lineRule="auto"/>
        <w:ind w:firstLine="482"/>
        <w:contextualSpacing/>
        <w:rPr>
          <w:rFonts w:hint="eastAsia" w:ascii="Times New Roman" w:eastAsia="黑体" w:cs="Times New Roman"/>
          <w:b/>
        </w:rPr>
      </w:pPr>
      <w:r>
        <w:rPr>
          <w:rFonts w:hint="eastAsia" w:ascii="Times New Roman" w:eastAsia="黑体" w:cs="Times New Roman"/>
          <w:b/>
        </w:rPr>
        <w:t>（十三）关联关系风险：本产品的代销机构与托管人可能为产品管理人的关联方，华夏理财已履行了现行法律法规和监管规定的必要程序。本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（十四）拟投资市场及资产的流动性风险评估</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w:t>
      </w:r>
      <w:r>
        <w:rPr>
          <w:rFonts w:ascii="Times New Roman" w:eastAsia="黑体" w:cs="Times New Roman"/>
          <w:b/>
        </w:rPr>
        <w:t>证券</w:t>
      </w:r>
      <w:r>
        <w:rPr>
          <w:rFonts w:hint="eastAsia" w:ascii="Times New Roman" w:eastAsia="黑体" w:cs="Times New Roman"/>
          <w:b/>
        </w:rPr>
        <w:t>方面未有高集中度的特征，综合评估在正常市场环境下本理财产品的流动性风险适中。本理财产品</w:t>
      </w:r>
      <w:r>
        <w:rPr>
          <w:rFonts w:ascii="Times New Roman" w:eastAsia="黑体" w:cs="Times New Roman"/>
          <w:b/>
        </w:rPr>
        <w:t>如投资</w:t>
      </w:r>
      <w:r>
        <w:rPr>
          <w:rFonts w:hint="eastAsia" w:ascii="Times New Roman" w:eastAsia="黑体" w:cs="Times New Roman"/>
          <w:b/>
        </w:rPr>
        <w:t>于非标准化债权资产，将严格执行监管有关限额管理、流动性管理等监管标准要求，防范并控制集中度和</w:t>
      </w:r>
      <w:r>
        <w:rPr>
          <w:rFonts w:ascii="Times New Roman" w:eastAsia="黑体" w:cs="Times New Roman"/>
          <w:b/>
        </w:rPr>
        <w:t>期限错配</w:t>
      </w:r>
      <w:r>
        <w:rPr>
          <w:rFonts w:hint="eastAsia" w:ascii="Times New Roman" w:eastAsia="黑体" w:cs="Times New Roman"/>
          <w:b/>
        </w:rPr>
        <w:t>等</w:t>
      </w:r>
      <w:r>
        <w:rPr>
          <w:rFonts w:ascii="Times New Roman" w:eastAsia="黑体" w:cs="Times New Roman"/>
          <w:b/>
        </w:rPr>
        <w:t>风险</w:t>
      </w:r>
      <w:r>
        <w:rPr>
          <w:rFonts w:hint="eastAsia" w:ascii="Times New Roman" w:eastAsia="黑体" w:cs="Times New Roman"/>
          <w:b/>
        </w:rPr>
        <w:t>。</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（十五）流动性应对措施及对投资者的潜在影响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1．认（申）购风险应对措施及对投资者的潜在影响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产品管理人将加强对本理财产品认（申）购环节的管理，合理控制理财产品份额持有人集中度，审慎确认大额认（申）购申请。当接受认（申）购申请对存量理财产品份额持有人利益构成潜在重大不利影响时，产品管理人将采取设定单一投资者认（申）购金额上限或理财产品单日净认（申）购比例上限、拒绝大额认（申）购申请、暂停理财产品认（申）购等措施对理财产品规模予以控制，切实保护存量理财产品份额持有人的合法权益。具体详见产品说明书中“一、产品概述”及“五、认购、申购、赎回”。</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当产品管理人采用认（申）购风险应对措施时，可能对投资者造成一定的潜在影响，包括但不限于不能认（申）购本理财产品、认（申）购交易全部或部分确认失败等。</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2．赎回风险应对措施及对投资者的潜在影响，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产品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银保监会规定的其他风险应对措施。具体详见本理财产品说明书“一、产品概述”及“五、认购、申购、赎回”。</w:t>
      </w:r>
    </w:p>
    <w:p>
      <w:pPr>
        <w:pStyle w:val="17"/>
        <w:snapToGrid w:val="0"/>
        <w:spacing w:line="276" w:lineRule="auto"/>
        <w:ind w:firstLine="482"/>
        <w:contextualSpacing/>
        <w:rPr>
          <w:rFonts w:hint="eastAsia" w:ascii="Times New Roman" w:eastAsia="黑体" w:cs="Times New Roman"/>
          <w:b/>
        </w:rPr>
      </w:pPr>
      <w:r>
        <w:rPr>
          <w:rFonts w:hint="eastAsia" w:ascii="Times New Roman" w:eastAsia="黑体" w:cs="Times New Roman"/>
          <w:b/>
        </w:rPr>
        <w:t>当产品管理人实施赎回流动性风险应对措施时，可能对投资者造成一定的潜在影响，包括但不限于赎回交易全部或部分确认失败、赎回款项延迟到账、增加申赎成本或产生赎回费用等。</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披露本理财产品信息，披露事项包括理财产品成立、不成立、净值、收益分配、到期、提前终止、调整等内容。信息披露将通过</w:t>
      </w:r>
      <w:r>
        <w:rPr>
          <w:rFonts w:ascii="仿宋" w:hAnsi="仿宋" w:eastAsia="仿宋" w:cs="宋体"/>
          <w:b/>
          <w:color w:val="000000"/>
          <w:kern w:val="0"/>
          <w:sz w:val="24"/>
        </w:rPr>
        <w:t>华夏银行</w:t>
      </w:r>
      <w:r>
        <w:rPr>
          <w:rFonts w:hint="eastAsia" w:ascii="仿宋" w:hAnsi="仿宋" w:eastAsia="仿宋" w:cs="宋体"/>
          <w:b/>
          <w:color w:val="000000"/>
          <w:kern w:val="0"/>
          <w:sz w:val="24"/>
        </w:rPr>
        <w:t>官方</w:t>
      </w:r>
      <w:r>
        <w:rPr>
          <w:rFonts w:ascii="仿宋" w:hAnsi="仿宋" w:eastAsia="仿宋" w:cs="宋体"/>
          <w:b/>
          <w:color w:val="000000"/>
          <w:kern w:val="0"/>
          <w:sz w:val="24"/>
        </w:rPr>
        <w:t>网站</w:t>
      </w:r>
      <w:r>
        <w:rPr>
          <w:rFonts w:hint="eastAsia" w:ascii="仿宋" w:hAnsi="仿宋" w:eastAsia="仿宋" w:cs="宋体"/>
          <w:b/>
          <w:color w:val="000000"/>
          <w:kern w:val="0"/>
          <w:sz w:val="24"/>
        </w:rPr>
        <w:t>等渠道发布公告</w:t>
      </w:r>
      <w:r>
        <w:rPr>
          <w:rFonts w:ascii="仿宋" w:hAnsi="仿宋" w:eastAsia="仿宋" w:cs="宋体"/>
          <w:b/>
          <w:color w:val="000000"/>
          <w:kern w:val="0"/>
          <w:sz w:val="24"/>
        </w:rPr>
        <w:t>。投资者应定期通过上述相关渠道获知有关信息或</w:t>
      </w:r>
      <w:r>
        <w:rPr>
          <w:rFonts w:hint="eastAsia" w:ascii="仿宋" w:hAnsi="仿宋" w:eastAsia="仿宋" w:cs="宋体"/>
          <w:b/>
          <w:color w:val="000000"/>
          <w:kern w:val="0"/>
          <w:sz w:val="24"/>
        </w:rPr>
        <w:t>主动</w:t>
      </w:r>
      <w:r>
        <w:rPr>
          <w:rFonts w:ascii="仿宋" w:hAnsi="仿宋" w:eastAsia="仿宋" w:cs="宋体"/>
          <w:b/>
          <w:color w:val="000000"/>
          <w:kern w:val="0"/>
          <w:sz w:val="24"/>
        </w:rPr>
        <w:t>致电华夏银行全国统一投资者服务热线（</w:t>
      </w:r>
      <w:r>
        <w:rPr>
          <w:rFonts w:hint="eastAsia" w:ascii="仿宋" w:hAnsi="仿宋" w:eastAsia="仿宋" w:cs="宋体"/>
          <w:b/>
          <w:color w:val="000000"/>
          <w:kern w:val="0"/>
          <w:sz w:val="24"/>
        </w:rPr>
        <w:t>95</w:t>
      </w:r>
      <w:r>
        <w:rPr>
          <w:rFonts w:ascii="仿宋" w:hAnsi="仿宋" w:eastAsia="仿宋" w:cs="宋体"/>
          <w:b/>
          <w:color w:val="000000"/>
          <w:kern w:val="0"/>
          <w:sz w:val="24"/>
        </w:rPr>
        <w:t>577）查询。如投资者未及时查询产品信息，因此产生的责任和风险由投资者承担。</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终止日的前3个工作日发布相关信息公告。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（二）理财产品临时信息披露</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ascii="仿宋" w:hAnsi="仿宋" w:eastAsia="仿宋" w:cs="宋体"/>
          <w:color w:val="000000"/>
          <w:kern w:val="0"/>
          <w:sz w:val="24"/>
        </w:rPr>
        <w:t>临时报告与公告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本理财产品在运作管理过程中，发生以下可能对理财产品</w:t>
      </w:r>
      <w:r>
        <w:rPr>
          <w:rFonts w:hint="eastAsia" w:ascii="仿宋" w:hAnsi="仿宋" w:eastAsia="仿宋" w:cs="宋体"/>
          <w:color w:val="000000"/>
          <w:kern w:val="0"/>
          <w:sz w:val="24"/>
        </w:rPr>
        <w:t>投资者</w:t>
      </w:r>
      <w:r>
        <w:rPr>
          <w:rFonts w:ascii="仿宋" w:hAnsi="仿宋" w:eastAsia="仿宋" w:cs="宋体"/>
          <w:color w:val="000000"/>
          <w:kern w:val="0"/>
          <w:sz w:val="24"/>
        </w:rPr>
        <w:t>权益及</w:t>
      </w:r>
      <w:r>
        <w:rPr>
          <w:rFonts w:hint="eastAsia" w:ascii="仿宋" w:hAnsi="仿宋" w:eastAsia="仿宋" w:cs="宋体"/>
          <w:color w:val="000000"/>
          <w:kern w:val="0"/>
          <w:sz w:val="24"/>
        </w:rPr>
        <w:t>产品份额净值</w:t>
      </w:r>
      <w:r>
        <w:rPr>
          <w:rFonts w:ascii="仿宋" w:hAnsi="仿宋" w:eastAsia="仿宋" w:cs="宋体"/>
          <w:color w:val="000000"/>
          <w:kern w:val="0"/>
          <w:sz w:val="24"/>
        </w:rPr>
        <w:t>产生重大影响的事项时，华夏</w:t>
      </w:r>
      <w:r>
        <w:rPr>
          <w:rFonts w:hint="eastAsia" w:ascii="仿宋" w:hAnsi="仿宋" w:eastAsia="仿宋" w:cs="宋体"/>
          <w:color w:val="000000"/>
          <w:kern w:val="0"/>
          <w:sz w:val="24"/>
        </w:rPr>
        <w:t>理财作为产品</w:t>
      </w:r>
      <w:r>
        <w:rPr>
          <w:rFonts w:ascii="仿宋" w:hAnsi="仿宋" w:eastAsia="仿宋" w:cs="宋体"/>
          <w:color w:val="000000"/>
          <w:kern w:val="0"/>
          <w:sz w:val="24"/>
        </w:rPr>
        <w:t>管理人将</w:t>
      </w:r>
      <w:r>
        <w:rPr>
          <w:rFonts w:hint="eastAsia" w:ascii="仿宋" w:hAnsi="仿宋" w:eastAsia="仿宋" w:cs="宋体"/>
          <w:color w:val="000000"/>
          <w:kern w:val="0"/>
          <w:sz w:val="24"/>
        </w:rPr>
        <w:t>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w:t>
      </w:r>
      <w:r>
        <w:rPr>
          <w:rFonts w:ascii="仿宋" w:hAnsi="仿宋" w:eastAsia="仿宋" w:cs="宋体"/>
          <w:color w:val="000000"/>
          <w:kern w:val="0"/>
          <w:sz w:val="24"/>
        </w:rPr>
        <w:t>及时</w:t>
      </w:r>
      <w:r>
        <w:rPr>
          <w:rFonts w:hint="eastAsia" w:ascii="仿宋" w:hAnsi="仿宋" w:eastAsia="仿宋" w:cs="宋体"/>
          <w:color w:val="000000"/>
          <w:kern w:val="0"/>
          <w:sz w:val="24"/>
        </w:rPr>
        <w:t>发布公告。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（1）与本理财产品有关的重大诉讼；</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产品</w:t>
      </w:r>
      <w:r>
        <w:rPr>
          <w:rFonts w:ascii="仿宋" w:hAnsi="仿宋" w:eastAsia="仿宋" w:cs="宋体"/>
          <w:color w:val="000000"/>
          <w:kern w:val="0"/>
          <w:sz w:val="24"/>
        </w:rPr>
        <w:t>管理人、</w:t>
      </w:r>
      <w:r>
        <w:rPr>
          <w:rFonts w:hint="eastAsia" w:ascii="仿宋" w:hAnsi="仿宋" w:eastAsia="仿宋" w:cs="宋体"/>
          <w:color w:val="000000"/>
          <w:kern w:val="0"/>
          <w:sz w:val="24"/>
        </w:rPr>
        <w:t>托管</w:t>
      </w:r>
      <w:r>
        <w:rPr>
          <w:rFonts w:ascii="仿宋" w:hAnsi="仿宋" w:eastAsia="仿宋" w:cs="宋体"/>
          <w:color w:val="000000"/>
          <w:kern w:val="0"/>
          <w:sz w:val="24"/>
        </w:rPr>
        <w:t>人、投资顾问</w:t>
      </w:r>
      <w:r>
        <w:rPr>
          <w:rFonts w:hint="eastAsia" w:ascii="仿宋" w:hAnsi="仿宋" w:eastAsia="仿宋" w:cs="宋体"/>
          <w:color w:val="000000"/>
          <w:kern w:val="0"/>
          <w:sz w:val="24"/>
        </w:rPr>
        <w:t>（如有）</w:t>
      </w:r>
      <w:r>
        <w:rPr>
          <w:rFonts w:ascii="仿宋" w:hAnsi="仿宋" w:eastAsia="仿宋" w:cs="宋体"/>
          <w:color w:val="000000"/>
          <w:kern w:val="0"/>
          <w:sz w:val="24"/>
        </w:rPr>
        <w:t>受到监管部门的调查；</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3</w:t>
      </w:r>
      <w:r>
        <w:rPr>
          <w:rFonts w:ascii="仿宋" w:hAnsi="仿宋" w:eastAsia="仿宋" w:cs="宋体"/>
          <w:color w:val="000000"/>
          <w:kern w:val="0"/>
          <w:sz w:val="24"/>
        </w:rPr>
        <w:t>）其它应披露的事项。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w:t>
      </w:r>
      <w:r>
        <w:rPr>
          <w:rFonts w:ascii="仿宋" w:hAnsi="仿宋" w:eastAsia="仿宋" w:cs="宋体"/>
          <w:color w:val="000000"/>
          <w:kern w:val="0"/>
          <w:sz w:val="24"/>
        </w:rPr>
        <w:t>发布相关信息公告。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仿宋"/>
          <w:kern w:val="0"/>
          <w:sz w:val="24"/>
          <w:lang w:val="en-US" w:eastAsia="zh-CN"/>
        </w:rPr>
        <w:t>3</w:t>
      </w:r>
      <w:r>
        <w:rPr>
          <w:rFonts w:ascii="仿宋" w:hAnsi="仿宋" w:eastAsia="仿宋" w:cs="仿宋"/>
          <w:kern w:val="0"/>
          <w:sz w:val="24"/>
        </w:rPr>
        <w:t>.</w:t>
      </w:r>
      <w:r>
        <w:rPr>
          <w:rFonts w:hint="eastAsia" w:ascii="仿宋" w:hAnsi="仿宋" w:eastAsia="仿宋" w:cs="仿宋"/>
          <w:kern w:val="0"/>
          <w:sz w:val="24"/>
        </w:rPr>
        <w:t>在发生涉及理财产品认购、赎回事项调整或潜在影响投资者赎回等事项时，或理财产品管理人决定采取流动性应对措施，产品管理人将按照监管规定及理财产品销售文件约定，及时发布临时公告。</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hint="eastAsia" w:ascii="黑体" w:hAnsi="黑体" w:eastAsia="黑体" w:cs="黑体"/>
          <w:b/>
          <w:bCs/>
          <w:color w:val="000000"/>
          <w:kern w:val="0"/>
          <w:sz w:val="24"/>
        </w:rPr>
      </w:pPr>
      <w:r>
        <w:rPr>
          <w:rFonts w:hint="eastAsia" w:ascii="黑体" w:hAnsi="黑体" w:eastAsia="黑体" w:cs="黑体"/>
          <w:b/>
          <w:bCs/>
          <w:color w:val="000000"/>
          <w:kern w:val="0"/>
          <w:sz w:val="24"/>
        </w:rPr>
        <w:t>本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本产品说明书</w:t>
      </w:r>
      <w:r>
        <w:rPr>
          <w:rFonts w:hint="eastAsia" w:ascii="仿宋" w:hAnsi="仿宋" w:eastAsia="仿宋" w:cs="宋体"/>
          <w:color w:val="000000"/>
          <w:kern w:val="0"/>
          <w:sz w:val="24"/>
        </w:rPr>
        <w:t>与理财产品协议书、理财产品风险揭示书和投资者权益须知共同组成投资者与华夏理财之间理财产品合同的不可分割之组成部分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理财产品前已阅读本理财产品风险提示，充分了解并知晓本理财产品的风险，自愿承担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w:t>
      </w:r>
      <w:r>
        <w:rPr>
          <w:rFonts w:eastAsia="黑体"/>
          <w:b/>
          <w:bCs/>
          <w:sz w:val="24"/>
        </w:rPr>
        <w:t>投资。</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网点柜面渠道购买本理财产品的，本产品说明书经自然人客户签字/法人或其他组织客户的法定代表人或授权代表签章并加盖公章、成功缴纳购买资金，并经华夏理财系统确认购买份额之日起生效。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如客户通过华夏理财/代销机构电子渠道购买本理财产品的，本产品说明书自客户通过电子渠道确认同意，完成认/申购资金划付，并经华夏理财系统确认购买份额之日起生效。</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产品管理人：华夏理财有限责任公司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p>
      <w:pPr>
        <w:pStyle w:val="6"/>
        <w:widowControl/>
        <w:spacing w:line="240" w:lineRule="auto"/>
        <w:ind w:firstLine="0"/>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3" w:usb1="00000000" w:usb2="00000000" w:usb3="00000000" w:csb0="00000001" w:csb1="00000000"/>
  </w:font>
  <w:font w:name="仿宋_GB2312">
    <w:altName w:val="仿宋"/>
    <w:panose1 w:val="02010609030101010101"/>
    <w:charset w:val="86"/>
    <w:family w:val="modern"/>
    <w:pitch w:val="default"/>
    <w:sig w:usb0="00000001" w:usb1="080E0000" w:usb2="00000010" w:usb3="00000000" w:csb0="00040000" w:csb1="00000000"/>
  </w:font>
  <w:font w:name="微软简仿宋">
    <w:panose1 w:val="00000000000000000000"/>
    <w:charset w:val="86"/>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0"/>
      <w:pBdr>
        <w:bottom w:val="none" w:color="auto" w:sz="0" w:space="1"/>
      </w:pBdr>
      <w:spacing w:line="360" w:lineRule="auto"/>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19778641">
    <w:nsid w:val="608BDC51"/>
    <w:multiLevelType w:val="singleLevel"/>
    <w:tmpl w:val="608BDC51"/>
    <w:lvl w:ilvl="0" w:tentative="1">
      <w:start w:val="1"/>
      <w:numFmt w:val="decimal"/>
      <w:suff w:val="nothing"/>
      <w:lvlText w:val="%1."/>
      <w:lvlJc w:val="left"/>
    </w:lvl>
  </w:abstractNum>
  <w:num w:numId="1">
    <w:abstractNumId w:val="16197786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trackRevisions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20F81"/>
    <w:rsid w:val="00063561"/>
    <w:rsid w:val="000713E1"/>
    <w:rsid w:val="000805E4"/>
    <w:rsid w:val="000A3C07"/>
    <w:rsid w:val="000B207E"/>
    <w:rsid w:val="000B32CF"/>
    <w:rsid w:val="000D002A"/>
    <w:rsid w:val="000D7DE2"/>
    <w:rsid w:val="000E195A"/>
    <w:rsid w:val="001260F4"/>
    <w:rsid w:val="001318D7"/>
    <w:rsid w:val="00141481"/>
    <w:rsid w:val="001423F3"/>
    <w:rsid w:val="00146323"/>
    <w:rsid w:val="001B29E5"/>
    <w:rsid w:val="00294355"/>
    <w:rsid w:val="002A2967"/>
    <w:rsid w:val="002A2FEF"/>
    <w:rsid w:val="002E7F9D"/>
    <w:rsid w:val="00311EF5"/>
    <w:rsid w:val="00351C38"/>
    <w:rsid w:val="00365E5C"/>
    <w:rsid w:val="003923B3"/>
    <w:rsid w:val="003C64F3"/>
    <w:rsid w:val="003D55AF"/>
    <w:rsid w:val="003D65A8"/>
    <w:rsid w:val="003E4BEB"/>
    <w:rsid w:val="003F6114"/>
    <w:rsid w:val="004021F4"/>
    <w:rsid w:val="004734C8"/>
    <w:rsid w:val="00494748"/>
    <w:rsid w:val="004E7D97"/>
    <w:rsid w:val="004F4E81"/>
    <w:rsid w:val="004F648F"/>
    <w:rsid w:val="005114E6"/>
    <w:rsid w:val="00512B7C"/>
    <w:rsid w:val="005604F6"/>
    <w:rsid w:val="00560CC1"/>
    <w:rsid w:val="005727C8"/>
    <w:rsid w:val="005C08EC"/>
    <w:rsid w:val="005F66E4"/>
    <w:rsid w:val="00656FE9"/>
    <w:rsid w:val="00670595"/>
    <w:rsid w:val="00677437"/>
    <w:rsid w:val="00681E3A"/>
    <w:rsid w:val="0068328B"/>
    <w:rsid w:val="0069073D"/>
    <w:rsid w:val="006915E0"/>
    <w:rsid w:val="006D3A14"/>
    <w:rsid w:val="006E0E9D"/>
    <w:rsid w:val="006E742E"/>
    <w:rsid w:val="006F119A"/>
    <w:rsid w:val="00712CC7"/>
    <w:rsid w:val="00734D46"/>
    <w:rsid w:val="0076606B"/>
    <w:rsid w:val="00777429"/>
    <w:rsid w:val="007815CF"/>
    <w:rsid w:val="00792744"/>
    <w:rsid w:val="007C6CAA"/>
    <w:rsid w:val="007F32C1"/>
    <w:rsid w:val="008277B6"/>
    <w:rsid w:val="00843345"/>
    <w:rsid w:val="00846F1F"/>
    <w:rsid w:val="00852D93"/>
    <w:rsid w:val="00863612"/>
    <w:rsid w:val="00887E73"/>
    <w:rsid w:val="008A1CA4"/>
    <w:rsid w:val="008D19F3"/>
    <w:rsid w:val="008D5F85"/>
    <w:rsid w:val="008E0C40"/>
    <w:rsid w:val="008F6891"/>
    <w:rsid w:val="00902123"/>
    <w:rsid w:val="00916782"/>
    <w:rsid w:val="00971A91"/>
    <w:rsid w:val="00972105"/>
    <w:rsid w:val="00991FA8"/>
    <w:rsid w:val="009A3572"/>
    <w:rsid w:val="009B6F7E"/>
    <w:rsid w:val="009C0A85"/>
    <w:rsid w:val="009C4B76"/>
    <w:rsid w:val="009C5840"/>
    <w:rsid w:val="009E6D89"/>
    <w:rsid w:val="009F0D25"/>
    <w:rsid w:val="009F1CB5"/>
    <w:rsid w:val="00A25440"/>
    <w:rsid w:val="00A33474"/>
    <w:rsid w:val="00A51A90"/>
    <w:rsid w:val="00A547BE"/>
    <w:rsid w:val="00A87692"/>
    <w:rsid w:val="00A93593"/>
    <w:rsid w:val="00A978E7"/>
    <w:rsid w:val="00AA7D8A"/>
    <w:rsid w:val="00AE1B0B"/>
    <w:rsid w:val="00AF3F07"/>
    <w:rsid w:val="00B47C68"/>
    <w:rsid w:val="00B51859"/>
    <w:rsid w:val="00B5695A"/>
    <w:rsid w:val="00BA77A8"/>
    <w:rsid w:val="00BB4269"/>
    <w:rsid w:val="00BC4B7F"/>
    <w:rsid w:val="00BE076D"/>
    <w:rsid w:val="00BE4A47"/>
    <w:rsid w:val="00C33E4C"/>
    <w:rsid w:val="00D04582"/>
    <w:rsid w:val="00D06C20"/>
    <w:rsid w:val="00D3392B"/>
    <w:rsid w:val="00D34745"/>
    <w:rsid w:val="00D65353"/>
    <w:rsid w:val="00DE2987"/>
    <w:rsid w:val="00E46D53"/>
    <w:rsid w:val="00E816F5"/>
    <w:rsid w:val="00E879FF"/>
    <w:rsid w:val="00E95A0F"/>
    <w:rsid w:val="00EE7A2F"/>
    <w:rsid w:val="00F37C88"/>
    <w:rsid w:val="00F444A8"/>
    <w:rsid w:val="00F56D69"/>
    <w:rsid w:val="00F9415B"/>
    <w:rsid w:val="00FC1677"/>
    <w:rsid w:val="00FD2903"/>
    <w:rsid w:val="00FF56AD"/>
    <w:rsid w:val="01EB6FEC"/>
    <w:rsid w:val="02377743"/>
    <w:rsid w:val="04B16B62"/>
    <w:rsid w:val="05215177"/>
    <w:rsid w:val="08A96CC2"/>
    <w:rsid w:val="0A0F44CD"/>
    <w:rsid w:val="0AA97A8C"/>
    <w:rsid w:val="0B047D48"/>
    <w:rsid w:val="0B9C5D9B"/>
    <w:rsid w:val="0BA27F6B"/>
    <w:rsid w:val="0C510FA4"/>
    <w:rsid w:val="0C715A28"/>
    <w:rsid w:val="0C9E5955"/>
    <w:rsid w:val="0D511F69"/>
    <w:rsid w:val="0DC52C23"/>
    <w:rsid w:val="0DF70178"/>
    <w:rsid w:val="0E3C3C0F"/>
    <w:rsid w:val="0F104CA7"/>
    <w:rsid w:val="0F2862EC"/>
    <w:rsid w:val="117C0D4E"/>
    <w:rsid w:val="11BB3DB9"/>
    <w:rsid w:val="11D21B30"/>
    <w:rsid w:val="123B658C"/>
    <w:rsid w:val="12CD4972"/>
    <w:rsid w:val="12FA2A1E"/>
    <w:rsid w:val="12FB08EA"/>
    <w:rsid w:val="142741A0"/>
    <w:rsid w:val="14FD2EFF"/>
    <w:rsid w:val="152A1DB0"/>
    <w:rsid w:val="155D4436"/>
    <w:rsid w:val="16457F02"/>
    <w:rsid w:val="169510B8"/>
    <w:rsid w:val="16DD4AF1"/>
    <w:rsid w:val="174C5C47"/>
    <w:rsid w:val="178D27B4"/>
    <w:rsid w:val="182014A2"/>
    <w:rsid w:val="18294E04"/>
    <w:rsid w:val="1892050E"/>
    <w:rsid w:val="18D80C51"/>
    <w:rsid w:val="18EE0BF6"/>
    <w:rsid w:val="198557BA"/>
    <w:rsid w:val="1A707A6D"/>
    <w:rsid w:val="1A7D6D25"/>
    <w:rsid w:val="1A816486"/>
    <w:rsid w:val="1A893942"/>
    <w:rsid w:val="1AD533CC"/>
    <w:rsid w:val="1B656874"/>
    <w:rsid w:val="1BA64FD1"/>
    <w:rsid w:val="1BBC5A18"/>
    <w:rsid w:val="1BE97487"/>
    <w:rsid w:val="1C6357AF"/>
    <w:rsid w:val="1CAC5E2B"/>
    <w:rsid w:val="1CDF5587"/>
    <w:rsid w:val="1D023468"/>
    <w:rsid w:val="1D1741C1"/>
    <w:rsid w:val="1D795BF8"/>
    <w:rsid w:val="1E356AFA"/>
    <w:rsid w:val="1E724912"/>
    <w:rsid w:val="1F712573"/>
    <w:rsid w:val="2002605D"/>
    <w:rsid w:val="204A0870"/>
    <w:rsid w:val="20C822D8"/>
    <w:rsid w:val="20D13434"/>
    <w:rsid w:val="220D5EC8"/>
    <w:rsid w:val="223431B1"/>
    <w:rsid w:val="22C149FC"/>
    <w:rsid w:val="22F1518B"/>
    <w:rsid w:val="238C25BD"/>
    <w:rsid w:val="24A91031"/>
    <w:rsid w:val="25E72FA7"/>
    <w:rsid w:val="270E7FCC"/>
    <w:rsid w:val="28347384"/>
    <w:rsid w:val="287A4275"/>
    <w:rsid w:val="29711978"/>
    <w:rsid w:val="298634AE"/>
    <w:rsid w:val="2A412DB1"/>
    <w:rsid w:val="2A567387"/>
    <w:rsid w:val="2B3649F4"/>
    <w:rsid w:val="2B4675FA"/>
    <w:rsid w:val="2BB602C5"/>
    <w:rsid w:val="2BD85FC4"/>
    <w:rsid w:val="2BF50AB4"/>
    <w:rsid w:val="2CC83A54"/>
    <w:rsid w:val="2CDB7E63"/>
    <w:rsid w:val="2DA05DCE"/>
    <w:rsid w:val="2EC208DF"/>
    <w:rsid w:val="2F223C18"/>
    <w:rsid w:val="2F401A95"/>
    <w:rsid w:val="2F517C68"/>
    <w:rsid w:val="2F854CC7"/>
    <w:rsid w:val="2FDD2BC4"/>
    <w:rsid w:val="2FF679D7"/>
    <w:rsid w:val="30653C55"/>
    <w:rsid w:val="30B93C1E"/>
    <w:rsid w:val="320C78A0"/>
    <w:rsid w:val="329A0B6A"/>
    <w:rsid w:val="32C642E9"/>
    <w:rsid w:val="332573C9"/>
    <w:rsid w:val="34767EED"/>
    <w:rsid w:val="34854AB1"/>
    <w:rsid w:val="34A63F82"/>
    <w:rsid w:val="350A7012"/>
    <w:rsid w:val="360161F0"/>
    <w:rsid w:val="36050641"/>
    <w:rsid w:val="36365F0F"/>
    <w:rsid w:val="372651A6"/>
    <w:rsid w:val="37ED179E"/>
    <w:rsid w:val="382265A3"/>
    <w:rsid w:val="386B45BC"/>
    <w:rsid w:val="39223F50"/>
    <w:rsid w:val="39915230"/>
    <w:rsid w:val="39B533F4"/>
    <w:rsid w:val="3A166DB1"/>
    <w:rsid w:val="3A6464DA"/>
    <w:rsid w:val="3B35691C"/>
    <w:rsid w:val="3C691FB2"/>
    <w:rsid w:val="3CBF08B8"/>
    <w:rsid w:val="3F2C7A86"/>
    <w:rsid w:val="3F996600"/>
    <w:rsid w:val="3FFF5A88"/>
    <w:rsid w:val="40897331"/>
    <w:rsid w:val="41A75327"/>
    <w:rsid w:val="42726493"/>
    <w:rsid w:val="44C2436C"/>
    <w:rsid w:val="44D90650"/>
    <w:rsid w:val="45225B34"/>
    <w:rsid w:val="454247FC"/>
    <w:rsid w:val="45C2437E"/>
    <w:rsid w:val="464740FB"/>
    <w:rsid w:val="46945BA3"/>
    <w:rsid w:val="469C1860"/>
    <w:rsid w:val="48100387"/>
    <w:rsid w:val="489F1960"/>
    <w:rsid w:val="48F37F0D"/>
    <w:rsid w:val="492F3120"/>
    <w:rsid w:val="4A646C71"/>
    <w:rsid w:val="4A974BFD"/>
    <w:rsid w:val="4CC42E4B"/>
    <w:rsid w:val="4E006899"/>
    <w:rsid w:val="4E6B607B"/>
    <w:rsid w:val="4E7E67D5"/>
    <w:rsid w:val="500E49CD"/>
    <w:rsid w:val="500F1CD5"/>
    <w:rsid w:val="511D25A1"/>
    <w:rsid w:val="51313E63"/>
    <w:rsid w:val="51A36407"/>
    <w:rsid w:val="51D91B25"/>
    <w:rsid w:val="52C77658"/>
    <w:rsid w:val="58083A83"/>
    <w:rsid w:val="581B10FA"/>
    <w:rsid w:val="582156EE"/>
    <w:rsid w:val="58BB4CDB"/>
    <w:rsid w:val="59AD702D"/>
    <w:rsid w:val="59D14CC4"/>
    <w:rsid w:val="59FF73A2"/>
    <w:rsid w:val="5A945937"/>
    <w:rsid w:val="5AA340C2"/>
    <w:rsid w:val="5AB6501F"/>
    <w:rsid w:val="5B9E1D5B"/>
    <w:rsid w:val="5BCB323C"/>
    <w:rsid w:val="5DC63A4E"/>
    <w:rsid w:val="5DED53D1"/>
    <w:rsid w:val="5E1B7959"/>
    <w:rsid w:val="5EAD142E"/>
    <w:rsid w:val="5F3F3BFD"/>
    <w:rsid w:val="5F7071A8"/>
    <w:rsid w:val="610C5CC5"/>
    <w:rsid w:val="6210426E"/>
    <w:rsid w:val="62143A78"/>
    <w:rsid w:val="638119A8"/>
    <w:rsid w:val="642D51FD"/>
    <w:rsid w:val="644E4B1D"/>
    <w:rsid w:val="64651B49"/>
    <w:rsid w:val="652C5EC9"/>
    <w:rsid w:val="65353764"/>
    <w:rsid w:val="65EC5F0A"/>
    <w:rsid w:val="66EC4D96"/>
    <w:rsid w:val="6736101B"/>
    <w:rsid w:val="673B19C8"/>
    <w:rsid w:val="682D6247"/>
    <w:rsid w:val="68370CCC"/>
    <w:rsid w:val="684D7DEF"/>
    <w:rsid w:val="69C37032"/>
    <w:rsid w:val="6B22134C"/>
    <w:rsid w:val="6BD916EE"/>
    <w:rsid w:val="6C3A2315"/>
    <w:rsid w:val="6CCA1A7F"/>
    <w:rsid w:val="6DF076BC"/>
    <w:rsid w:val="6E035291"/>
    <w:rsid w:val="6E1206A4"/>
    <w:rsid w:val="6E5A3D7E"/>
    <w:rsid w:val="6ED06B7B"/>
    <w:rsid w:val="703933A1"/>
    <w:rsid w:val="70AA0758"/>
    <w:rsid w:val="70B61502"/>
    <w:rsid w:val="70CE17C7"/>
    <w:rsid w:val="70F5166C"/>
    <w:rsid w:val="715507FE"/>
    <w:rsid w:val="71EF5ACB"/>
    <w:rsid w:val="723B233B"/>
    <w:rsid w:val="724F5D5C"/>
    <w:rsid w:val="728E0A16"/>
    <w:rsid w:val="729371FE"/>
    <w:rsid w:val="72E929DE"/>
    <w:rsid w:val="72EF2B1D"/>
    <w:rsid w:val="738D015F"/>
    <w:rsid w:val="745751F5"/>
    <w:rsid w:val="74892FD1"/>
    <w:rsid w:val="74FB18F9"/>
    <w:rsid w:val="75616560"/>
    <w:rsid w:val="75F80517"/>
    <w:rsid w:val="76C57715"/>
    <w:rsid w:val="771479EA"/>
    <w:rsid w:val="771C35A1"/>
    <w:rsid w:val="77A03719"/>
    <w:rsid w:val="78A4259B"/>
    <w:rsid w:val="78C31CAF"/>
    <w:rsid w:val="78CE6E70"/>
    <w:rsid w:val="795B3486"/>
    <w:rsid w:val="796D0784"/>
    <w:rsid w:val="79E45FD6"/>
    <w:rsid w:val="7AD0105B"/>
    <w:rsid w:val="7AF92581"/>
    <w:rsid w:val="7B170E00"/>
    <w:rsid w:val="7B3057E8"/>
    <w:rsid w:val="7C721F5F"/>
    <w:rsid w:val="7C7D36C4"/>
    <w:rsid w:val="7E431677"/>
    <w:rsid w:val="7E5572E2"/>
    <w:rsid w:val="7ED67996"/>
    <w:rsid w:val="7F116F65"/>
    <w:rsid w:val="7F516160"/>
    <w:rsid w:val="7FD45F92"/>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1">
    <w:name w:val="Default Paragraph Font"/>
    <w:semiHidden/>
    <w:uiPriority w:val="0"/>
  </w:style>
  <w:style w:type="table" w:default="1" w:styleId="13">
    <w:name w:val="Normal Table"/>
    <w:semiHidden/>
    <w:uiPriority w:val="0"/>
    <w:tblPr>
      <w:tblStyle w:val="13"/>
      <w:tblLayout w:type="fixed"/>
      <w:tblCellMar>
        <w:top w:w="0" w:type="dxa"/>
        <w:left w:w="108" w:type="dxa"/>
        <w:bottom w:w="0" w:type="dxa"/>
        <w:right w:w="108" w:type="dxa"/>
      </w:tblCellMar>
    </w:tblPr>
    <w:tcPr>
      <w:textDirection w:val="lrTb"/>
    </w:tcPr>
  </w:style>
  <w:style w:type="paragraph" w:styleId="5">
    <w:name w:val="annotation text"/>
    <w:basedOn w:val="1"/>
    <w:uiPriority w:val="0"/>
    <w:pPr>
      <w:jc w:val="left"/>
    </w:pPr>
  </w:style>
  <w:style w:type="paragraph" w:styleId="6">
    <w:name w:val="Body Text Indent"/>
    <w:basedOn w:val="1"/>
    <w:unhideWhenUsed/>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uiPriority w:val="0"/>
    <w:pPr>
      <w:tabs>
        <w:tab w:val="center" w:pos="4153"/>
        <w:tab w:val="right" w:pos="8306"/>
      </w:tabs>
      <w:snapToGrid w:val="0"/>
      <w:jc w:val="left"/>
    </w:pPr>
    <w:rPr>
      <w:sz w:val="18"/>
      <w:szCs w:val="20"/>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20"/>
    </w:rPr>
  </w:style>
  <w:style w:type="character" w:styleId="12">
    <w:name w:val="page number"/>
    <w:basedOn w:val="11"/>
    <w:uiPriority w:val="0"/>
    <w:rPr/>
  </w:style>
  <w:style w:type="table" w:styleId="14">
    <w:name w:val="Table Grid"/>
    <w:basedOn w:val="13"/>
    <w:unhideWhenUsed/>
    <w:uiPriority w:val="0"/>
    <w:pPr>
      <w:widowControl w:val="0"/>
      <w:jc w:val="both"/>
    </w:pPr>
    <w:rPr>
      <w:rFonts w:eastAsia="Times New Roman"/>
    </w:r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paragraph" w:customStyle="1" w:styleId="15">
    <w:name w:val="p0"/>
    <w:basedOn w:val="1"/>
    <w:uiPriority w:val="0"/>
    <w:pPr>
      <w:widowControl/>
    </w:pPr>
    <w:rPr>
      <w:kern w:val="0"/>
      <w:szCs w:val="21"/>
    </w:rPr>
  </w:style>
  <w:style w:type="paragraph" w:customStyle="1" w:styleId="16">
    <w:name w:val="正文 A"/>
    <w:uiPriority w:val="0"/>
    <w:pPr>
      <w:widowControl w:val="0"/>
      <w:spacing w:line="560" w:lineRule="atLeast"/>
      <w:ind w:firstLine="640"/>
      <w:jc w:val="both"/>
    </w:pPr>
    <w:rPr>
      <w:rFonts w:ascii="Arial Unicode MS" w:hAnsi="Arial Unicode MS" w:cs="Arial Unicode MS"/>
      <w:color w:val="000000"/>
      <w:kern w:val="2"/>
      <w:sz w:val="32"/>
      <w:szCs w:val="32"/>
      <w:u w:val="none" w:color="000000"/>
      <w:lang w:val="en-US" w:eastAsia="zh-CN" w:bidi="ar-SA"/>
    </w:rPr>
  </w:style>
  <w:style w:type="paragraph" w:customStyle="1" w:styleId="17">
    <w:name w:val="Defaul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18">
    <w:name w:val="YJH-nei"/>
    <w:uiPriority w:val="0"/>
    <w:pPr>
      <w:spacing w:line="600" w:lineRule="exact"/>
      <w:ind w:firstLine="200" w:firstLineChars="200"/>
    </w:pPr>
    <w:rPr>
      <w:rFonts w:ascii="仿宋_GB2312" w:hAnsi="宋体" w:eastAsia="仿宋_GB2312"/>
      <w:sz w:val="30"/>
      <w:szCs w:val="30"/>
      <w:lang w:val="en-US" w:eastAsia="zh-CN" w:bidi="ar-SA"/>
    </w:rPr>
  </w:style>
  <w:style w:type="character" w:customStyle="1" w:styleId="19">
    <w:name w:val="NormalCharacter"/>
    <w:uiPriority w:val="0"/>
  </w:style>
  <w:style w:type="character" w:customStyle="1" w:styleId="20">
    <w:name w:val="font81"/>
    <w:uiPriority w:val="0"/>
    <w:rPr>
      <w:rFonts w:hint="default" w:ascii="微软简仿宋" w:hAnsi="微软简仿宋" w:eastAsia="微软简仿宋" w:cs="微软简仿宋"/>
      <w:color w:val="000000"/>
      <w:sz w:val="24"/>
      <w:szCs w:val="24"/>
      <w:u w:val="none"/>
    </w:rPr>
  </w:style>
  <w:style w:type="character" w:customStyle="1" w:styleId="21">
    <w:name w:val="font51"/>
    <w:uiPriority w:val="0"/>
    <w:rPr>
      <w:rFonts w:hint="default" w:ascii="Times New Roman" w:hAnsi="Times New Roman" w:cs="Times New Roman"/>
      <w:color w:val="000000"/>
      <w:sz w:val="24"/>
      <w:szCs w:val="24"/>
      <w:u w:val="none"/>
    </w:rPr>
  </w:style>
  <w:style w:type="character" w:customStyle="1" w:styleId="22">
    <w:name w:val="font01"/>
    <w:uiPriority w:val="0"/>
    <w:rPr>
      <w:rFonts w:hint="default" w:ascii="Times New Roman" w:hAnsi="Times New Roman" w:cs="Times New Roman"/>
      <w:color w:val="000000"/>
      <w:sz w:val="24"/>
      <w:szCs w:val="24"/>
      <w:u w:val="none"/>
    </w:rPr>
  </w:style>
  <w:style w:type="character" w:customStyle="1" w:styleId="23">
    <w:name w:val="font11"/>
    <w:uiPriority w:val="0"/>
    <w:rPr>
      <w:rFonts w:hint="default" w:ascii="微软简仿宋" w:hAnsi="微软简仿宋" w:eastAsia="微软简仿宋" w:cs="微软简仿宋"/>
      <w:color w:val="000000"/>
      <w:sz w:val="24"/>
      <w:szCs w:val="24"/>
      <w:u w:val="none"/>
    </w:rPr>
  </w:style>
</w:styles>
</file>

<file path=word/_rels/document.xml.rels><?xml version="1.0" encoding="UTF-8" standalone="yes"?>
<Relationships xmlns="http://schemas.openxmlformats.org/package/2006/relationships"><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13</Pages>
  <Words>2169</Words>
  <Characters>12367</Characters>
  <Lines>103</Lines>
  <Paragraphs>29</Paragraphs>
  <ScaleCrop>false</ScaleCrop>
  <LinksUpToDate>false</LinksUpToDate>
  <CharactersWithSpaces>14507</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2020-10-28T09:19:00Z</dcterms:created>
  <dc:creator>ylh; 刘军祥</dc:creator>
  <cp:keywords>21-11-24; 22-3-15</cp:keywords>
  <cp:lastModifiedBy>RORO</cp:lastModifiedBy>
  <dcterms:modified xsi:type="dcterms:W3CDTF">2022-05-06T08:03:29Z</dcterms:modified>
  <dc:title>华夏理财权益打新一年定开</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