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矩形 0">
      <v:fill on="f" color2="#FFFFFF" focus="0%"/>
    </v:background>
  </w:background>
  <w:body>
    <w:p>
      <w:pPr>
        <w:pStyle w:val="4"/>
        <w:widowControl/>
        <w:spacing w:line="240" w:lineRule="auto"/>
        <w:ind w:firstLine="0"/>
        <w:jc w:val="center"/>
        <w:rPr>
          <w:rFonts w:hint="eastAsia" w:eastAsia="黑体"/>
          <w:bCs/>
          <w:sz w:val="36"/>
          <w:szCs w:val="36"/>
        </w:rPr>
      </w:pPr>
      <w:bookmarkStart w:id="8" w:name="_GoBack"/>
      <w:bookmarkEnd w:id="8"/>
      <w:r>
        <w:rPr>
          <w:rFonts w:hint="eastAsia" w:eastAsia="黑体"/>
          <w:bCs/>
          <w:sz w:val="36"/>
          <w:szCs w:val="36"/>
        </w:rPr>
        <w:t>华夏理财混合偏债型封闭式理财产品11号说明书</w:t>
      </w:r>
    </w:p>
    <w:tbl>
      <w:tblPr>
        <w:tblStyle w:val="10"/>
        <w:tblW w:w="8569"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69"/>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0" w:hRule="atLeast"/>
          <w:jc w:val="center"/>
        </w:trPr>
        <w:tc>
          <w:tcPr>
            <w:tcW w:w="8569"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投资者不能申购、赎回本理财产品。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等渠道进行公告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w:t>
            </w:r>
            <w:bookmarkStart w:id="0" w:name="_Hlk76301410"/>
            <w:r>
              <w:rPr>
                <w:rFonts w:hint="eastAsia" w:ascii="黑体" w:hAnsi="黑体" w:eastAsia="黑体"/>
                <w:b/>
                <w:sz w:val="28"/>
                <w:szCs w:val="28"/>
                <w:u w:val="single"/>
              </w:rPr>
              <w:t>华夏银行客户服务热线95577或其他代理销售机构客户服务热线</w:t>
            </w:r>
            <w:bookmarkEnd w:id="0"/>
            <w:r>
              <w:rPr>
                <w:rFonts w:hint="eastAsia" w:ascii="黑体" w:hAnsi="黑体" w:eastAsia="黑体"/>
                <w:b/>
                <w:sz w:val="28"/>
                <w:szCs w:val="28"/>
                <w:u w:val="single"/>
              </w:rPr>
              <w:t>。</w:t>
            </w:r>
          </w:p>
        </w:tc>
      </w:tr>
    </w:tbl>
    <w:p>
      <w:pPr>
        <w:pStyle w:val="11"/>
        <w:snapToGrid w:val="0"/>
        <w:spacing w:after="156" w:afterLines="50"/>
        <w:jc w:val="both"/>
        <w:rPr>
          <w:rFonts w:hint="eastAsia" w:ascii="Times New Roman" w:eastAsia="黑体" w:cs="Times New Roman"/>
          <w:b/>
          <w:color w:val="auto"/>
        </w:rPr>
      </w:pPr>
      <w:r>
        <w:rPr>
          <w:rFonts w:hint="eastAsia" w:ascii="Times New Roman" w:eastAsia="黑体" w:cs="Times New Roman"/>
          <w:b/>
          <w:color w:val="auto"/>
        </w:rPr>
        <w:t xml:space="preserve">    </w:t>
      </w:r>
    </w:p>
    <w:p>
      <w:pPr>
        <w:pStyle w:val="11"/>
        <w:snapToGrid w:val="0"/>
        <w:spacing w:after="156" w:afterLines="50" w:line="400" w:lineRule="exact"/>
        <w:jc w:val="both"/>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0"/>
        <w:tblW w:w="9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
                <w:bCs/>
                <w:szCs w:val="21"/>
              </w:rPr>
            </w:pPr>
            <w:r>
              <w:rPr>
                <w:rFonts w:hint="eastAsia" w:ascii="仿宋" w:hAnsi="仿宋" w:eastAsia="仿宋"/>
                <w:b/>
                <w:bCs/>
                <w:szCs w:val="21"/>
              </w:rPr>
              <w:t>华夏理财混合偏债型封闭式理财产品11号</w:t>
            </w:r>
          </w:p>
          <w:p>
            <w:pPr>
              <w:adjustRightInd w:val="0"/>
              <w:snapToGrid w:val="0"/>
              <w:spacing w:line="300" w:lineRule="exact"/>
              <w:jc w:val="center"/>
              <w:rPr>
                <w:rFonts w:hint="eastAsia" w:ascii="仿宋" w:hAnsi="仿宋" w:eastAsia="仿宋"/>
                <w:b/>
                <w:bCs/>
                <w:szCs w:val="21"/>
              </w:rPr>
            </w:pPr>
            <w:r>
              <w:rPr>
                <w:rFonts w:hint="eastAsia" w:ascii="仿宋" w:hAnsi="仿宋" w:eastAsia="仿宋"/>
                <w:b/>
                <w:bCs/>
                <w:szCs w:val="21"/>
              </w:rPr>
              <w:t>A份额简称：“华夏理财混合偏债封闭式11号540天A”</w:t>
            </w:r>
          </w:p>
          <w:p>
            <w:pPr>
              <w:adjustRightInd w:val="0"/>
              <w:snapToGrid w:val="0"/>
              <w:spacing w:line="300" w:lineRule="exact"/>
              <w:jc w:val="center"/>
              <w:rPr>
                <w:rFonts w:hint="eastAsia" w:ascii="仿宋" w:hAnsi="仿宋" w:eastAsia="仿宋"/>
                <w:b/>
                <w:bCs/>
                <w:szCs w:val="21"/>
              </w:rPr>
            </w:pPr>
            <w:r>
              <w:rPr>
                <w:rFonts w:hint="eastAsia" w:ascii="仿宋" w:hAnsi="仿宋" w:eastAsia="仿宋"/>
                <w:b/>
                <w:bCs/>
                <w:szCs w:val="21"/>
              </w:rPr>
              <w:t>B份额简称：“华夏理财混合偏债封闭式11号540天B”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21211011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销售代码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A份额代码：21211011A</w:t>
            </w:r>
          </w:p>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B份额代码：21211011B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全国银行业理财登记系统登记编码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Z7003921000726</w:t>
            </w:r>
          </w:p>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封闭式净值型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混合类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rPr>
              <w:t>PR3级（中等风险）</w:t>
            </w:r>
            <w:r>
              <w:rPr>
                <w:rFonts w:ascii="仿宋" w:hAnsi="仿宋" w:eastAsia="仿宋"/>
                <w:bCs/>
                <w:szCs w:val="21"/>
              </w:rPr>
              <w:t>理财产品。</w:t>
            </w:r>
          </w:p>
          <w:p>
            <w:pPr>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该产品通过代理销售机构渠道销售的，理财产品评级应当以代理销售机构</w:t>
            </w:r>
            <w:bookmarkStart w:id="1" w:name="_Hlk76302700"/>
            <w:r>
              <w:rPr>
                <w:rFonts w:hint="eastAsia" w:ascii="仿宋" w:hAnsi="仿宋" w:eastAsia="仿宋"/>
                <w:bCs/>
                <w:szCs w:val="21"/>
              </w:rPr>
              <w:t>最终披露的评级结果</w:t>
            </w:r>
            <w:bookmarkEnd w:id="1"/>
            <w:r>
              <w:rPr>
                <w:rFonts w:hint="eastAsia" w:ascii="仿宋" w:hAnsi="仿宋" w:eastAsia="仿宋"/>
                <w:bCs/>
                <w:szCs w:val="21"/>
              </w:rPr>
              <w:t>为准。</w:t>
            </w:r>
            <w:r>
              <w:rPr>
                <w:rFonts w:hint="eastAsia" w:ascii="仿宋" w:hAnsi="仿宋" w:eastAsia="仿宋"/>
                <w:szCs w:val="21"/>
              </w:rPr>
              <w:t>代理销售机构（以下简称“代销机构”）如与华夏理财评级结果不一致，应当采用对应较高风险等级的评级结果</w:t>
            </w:r>
            <w:r>
              <w:rPr>
                <w:rFonts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rPr>
              <w:t>CR3（平衡型）、CR4（进取型）、CR5（激进型）的个人投资者。客户风险承受能力评级类型分为：CR1（谨慎型）、CR2（稳健型）、CR3（平衡型）、CR4（进取型）、CR5（激进型）</w:t>
            </w:r>
            <w:r>
              <w:rPr>
                <w:rFonts w:ascii="仿宋" w:hAnsi="仿宋" w:eastAsia="仿宋"/>
                <w:bCs/>
                <w:szCs w:val="21"/>
              </w:rPr>
              <w:t>。</w:t>
            </w:r>
          </w:p>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通过代销机构购买的，适合投资者及投资者风险承受能力评估结果以代销机构规定为准。</w:t>
            </w:r>
          </w:p>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华夏理财/代销机构根据</w:t>
            </w:r>
            <w:r>
              <w:rPr>
                <w:rFonts w:hint="eastAsia" w:ascii="仿宋" w:hAnsi="仿宋" w:eastAsia="仿宋"/>
                <w:b/>
                <w:bCs/>
                <w:color w:val="000000"/>
                <w:szCs w:val="21"/>
              </w:rPr>
              <w:t>非机构</w:t>
            </w:r>
            <w:r>
              <w:rPr>
                <w:rFonts w:hint="eastAsia" w:ascii="仿宋" w:hAnsi="仿宋" w:eastAsia="仿宋"/>
                <w:b/>
                <w:bCs/>
                <w:szCs w:val="21"/>
              </w:rPr>
              <w:t>投资者自身提供的信息评估</w:t>
            </w:r>
            <w:r>
              <w:rPr>
                <w:rFonts w:hint="eastAsia" w:ascii="仿宋" w:hAnsi="仿宋" w:eastAsia="仿宋"/>
                <w:b/>
                <w:bCs/>
                <w:color w:val="000000"/>
                <w:szCs w:val="21"/>
              </w:rPr>
              <w:t>非机构</w:t>
            </w:r>
            <w:r>
              <w:rPr>
                <w:rFonts w:hint="eastAsia" w:ascii="仿宋" w:hAnsi="仿宋" w:eastAsia="仿宋"/>
                <w:b/>
                <w:bCs/>
                <w:szCs w:val="21"/>
              </w:rPr>
              <w:t>投资者风险承受能力，因</w:t>
            </w:r>
            <w:r>
              <w:rPr>
                <w:rFonts w:hint="eastAsia" w:ascii="仿宋" w:hAnsi="仿宋" w:eastAsia="仿宋"/>
                <w:b/>
                <w:bCs/>
                <w:color w:val="000000"/>
                <w:szCs w:val="21"/>
              </w:rPr>
              <w:t>非机构</w:t>
            </w:r>
            <w:r>
              <w:rPr>
                <w:rFonts w:hint="eastAsia" w:ascii="仿宋" w:hAnsi="仿宋" w:eastAsia="仿宋"/>
                <w:b/>
                <w:bCs/>
                <w:szCs w:val="21"/>
              </w:rPr>
              <w:t>投资者提供信息不准确或不完整，导致其购买与自己风险承受能力不匹配的理财产品的</w:t>
            </w:r>
            <w:r>
              <w:rPr>
                <w:rFonts w:ascii="仿宋" w:hAnsi="仿宋" w:eastAsia="仿宋"/>
                <w:b/>
                <w:bCs/>
                <w:szCs w:val="21"/>
              </w:rPr>
              <w:t>责任和风险由</w:t>
            </w:r>
            <w:r>
              <w:rPr>
                <w:rFonts w:hint="eastAsia" w:ascii="仿宋" w:hAnsi="仿宋" w:eastAsia="仿宋"/>
                <w:b/>
                <w:bCs/>
                <w:szCs w:val="21"/>
              </w:rPr>
              <w:t>投资者</w:t>
            </w:r>
            <w:r>
              <w:rPr>
                <w:rFonts w:ascii="仿宋" w:hAnsi="仿宋" w:eastAsia="仿宋"/>
                <w:b/>
                <w:bCs/>
                <w:szCs w:val="21"/>
              </w:rPr>
              <w:t>承担</w:t>
            </w:r>
            <w:r>
              <w:rPr>
                <w:rFonts w:hint="eastAsia"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业绩</w:t>
            </w:r>
            <w:r>
              <w:rPr>
                <w:rFonts w:ascii="仿宋" w:hAnsi="仿宋" w:eastAsia="仿宋"/>
                <w:bCs/>
                <w:szCs w:val="21"/>
              </w:rPr>
              <w:t>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color w:val="000000"/>
                <w:szCs w:val="21"/>
              </w:rPr>
            </w:pPr>
            <w:r>
              <w:rPr>
                <w:rFonts w:hint="eastAsia" w:ascii="仿宋" w:hAnsi="仿宋" w:eastAsia="仿宋" w:cs="Cambria"/>
                <w:bCs/>
                <w:szCs w:val="21"/>
              </w:rPr>
              <w:t>A份额：业绩基准为4.85%（年化）；B份额：业绩基准为4.90%（年化）。综合考虑投资范围、投资策略和市场环境等因素，采用5%*中债国债总财富（1-3年）指数+25%*中债-信用债总财富（1-3年）指数+40%*非标资产收益+30%*Wind偏股混合型基金指数收益测算而得，其中Wind偏股混合型基金指数及中债指数使用历史数据为测算基准。测算依据仅供参考，不代表华夏理财对产品的任何收益承诺。</w:t>
            </w:r>
            <w:r>
              <w:rPr>
                <w:rFonts w:hint="eastAsia" w:ascii="仿宋" w:hAnsi="仿宋" w:eastAsia="仿宋"/>
                <w:bCs/>
                <w:color w:val="000000"/>
                <w:szCs w:val="21"/>
              </w:rPr>
              <w:t>华夏理财有权根据市场情况及产品运作情况调整业绩基准</w:t>
            </w:r>
            <w:r>
              <w:rPr>
                <w:rFonts w:hint="eastAsia" w:ascii="仿宋" w:hAnsi="仿宋" w:eastAsia="仿宋" w:cs="仿宋"/>
                <w:bCs/>
                <w:szCs w:val="21"/>
              </w:rPr>
              <w:t>，</w:t>
            </w:r>
            <w:r>
              <w:rPr>
                <w:rFonts w:hint="eastAsia" w:ascii="仿宋" w:hAnsi="仿宋" w:eastAsia="仿宋"/>
                <w:bCs/>
                <w:szCs w:val="21"/>
              </w:rPr>
              <w:t>并至少于新业绩基准启用前3个工作日公告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2.本</w:t>
            </w:r>
            <w:r>
              <w:rPr>
                <w:rFonts w:hint="eastAsia" w:ascii="仿宋" w:hAnsi="仿宋" w:eastAsia="仿宋"/>
                <w:b/>
                <w:szCs w:val="21"/>
              </w:rPr>
              <w:t>业绩基准</w:t>
            </w:r>
            <w:r>
              <w:rPr>
                <w:rFonts w:hint="eastAsia" w:ascii="仿宋" w:hAnsi="仿宋" w:eastAsia="仿宋"/>
                <w:b/>
                <w:bCs/>
                <w:szCs w:val="21"/>
              </w:rPr>
              <w:t>不构成华夏理财/代销机构对本理财产品的任何收益承诺。</w:t>
            </w:r>
          </w:p>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bookmarkStart w:id="2" w:name="OLE_LINK2" w:colFirst="1" w:colLast="1"/>
            <w:bookmarkStart w:id="3" w:name="OLE_LINK3" w:colFirst="1" w:colLast="1"/>
            <w:bookmarkStart w:id="4" w:name="_Hlk290294163"/>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12月14</w:t>
            </w:r>
            <w:r>
              <w:rPr>
                <w:rFonts w:ascii="仿宋" w:hAnsi="仿宋" w:eastAsia="仿宋"/>
                <w:bCs/>
                <w:szCs w:val="21"/>
              </w:rPr>
              <w:t>日－</w:t>
            </w: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12</w:t>
            </w:r>
            <w:r>
              <w:rPr>
                <w:rFonts w:ascii="仿宋" w:hAnsi="仿宋" w:eastAsia="仿宋"/>
                <w:bCs/>
                <w:szCs w:val="21"/>
              </w:rPr>
              <w:t>月</w:t>
            </w:r>
            <w:r>
              <w:rPr>
                <w:rFonts w:hint="eastAsia" w:ascii="仿宋" w:hAnsi="仿宋" w:eastAsia="仿宋"/>
                <w:bCs/>
                <w:szCs w:val="21"/>
              </w:rPr>
              <w:t>20日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bookmarkEnd w:id="2"/>
      <w:bookmarkEnd w:id="3"/>
      <w:bookmarkEnd w:id="4"/>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12</w:t>
            </w:r>
            <w:r>
              <w:rPr>
                <w:rFonts w:ascii="仿宋" w:hAnsi="仿宋" w:eastAsia="仿宋"/>
                <w:bCs/>
                <w:szCs w:val="21"/>
              </w:rPr>
              <w:t>月</w:t>
            </w:r>
            <w:r>
              <w:rPr>
                <w:rFonts w:hint="eastAsia" w:ascii="仿宋" w:hAnsi="仿宋" w:eastAsia="仿宋"/>
                <w:bCs/>
                <w:szCs w:val="21"/>
              </w:rPr>
              <w:t>21</w:t>
            </w:r>
            <w:r>
              <w:rPr>
                <w:rFonts w:ascii="仿宋" w:hAnsi="仿宋" w:eastAsia="仿宋"/>
                <w:bCs/>
                <w:szCs w:val="21"/>
              </w:rPr>
              <w:t xml:space="preserve">日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540天</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到期/终止日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2023</w:t>
            </w:r>
            <w:r>
              <w:rPr>
                <w:rFonts w:ascii="仿宋" w:hAnsi="仿宋" w:eastAsia="仿宋"/>
                <w:bCs/>
                <w:szCs w:val="21"/>
              </w:rPr>
              <w:t>年</w:t>
            </w:r>
            <w:r>
              <w:rPr>
                <w:rFonts w:hint="eastAsia" w:ascii="仿宋" w:hAnsi="仿宋" w:eastAsia="仿宋"/>
                <w:bCs/>
                <w:szCs w:val="21"/>
              </w:rPr>
              <w:t>06</w:t>
            </w:r>
            <w:r>
              <w:rPr>
                <w:rFonts w:ascii="仿宋" w:hAnsi="仿宋" w:eastAsia="仿宋"/>
                <w:bCs/>
                <w:szCs w:val="21"/>
              </w:rPr>
              <w:t>月</w:t>
            </w:r>
            <w:r>
              <w:rPr>
                <w:rFonts w:hint="eastAsia" w:ascii="仿宋" w:hAnsi="仿宋" w:eastAsia="仿宋"/>
                <w:bCs/>
                <w:szCs w:val="21"/>
              </w:rPr>
              <w:t>14</w:t>
            </w:r>
            <w:r>
              <w:rPr>
                <w:rFonts w:ascii="仿宋" w:hAnsi="仿宋" w:eastAsia="仿宋"/>
                <w:bCs/>
                <w:szCs w:val="21"/>
              </w:rPr>
              <w:t>日</w:t>
            </w:r>
            <w:r>
              <w:rPr>
                <w:rFonts w:hint="eastAsia" w:ascii="仿宋" w:hAnsi="仿宋" w:eastAsia="仿宋"/>
                <w:bCs/>
                <w:szCs w:val="21"/>
              </w:rPr>
              <w:t>理财产品正常到期。如理财产品因故提前或延迟到期的，则终止日以华夏理财发布的公告为准。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产品成立日至到期/终止日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300" w:lineRule="exact"/>
              <w:ind w:firstLine="422" w:firstLineChars="200"/>
              <w:rPr>
                <w:rFonts w:ascii="仿宋" w:hAnsi="仿宋" w:eastAsia="仿宋"/>
                <w:bCs/>
                <w:szCs w:val="21"/>
              </w:rPr>
            </w:pPr>
            <w:r>
              <w:rPr>
                <w:rFonts w:hint="eastAsia" w:ascii="仿宋" w:hAnsi="仿宋" w:eastAsia="仿宋"/>
                <w:b/>
                <w:bCs/>
                <w:color w:val="000000"/>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到期/终止理财本金</w:t>
            </w:r>
            <w:r>
              <w:rPr>
                <w:rFonts w:ascii="仿宋" w:hAnsi="仿宋" w:eastAsia="仿宋"/>
                <w:bCs/>
                <w:szCs w:val="21"/>
              </w:rPr>
              <w:t>及</w:t>
            </w:r>
            <w:r>
              <w:rPr>
                <w:rFonts w:hint="eastAsia" w:ascii="仿宋" w:hAnsi="仿宋" w:eastAsia="仿宋"/>
                <w:bCs/>
                <w:szCs w:val="21"/>
              </w:rPr>
              <w:t>收益</w:t>
            </w: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华夏理财将于到期/终止</w:t>
            </w:r>
            <w:r>
              <w:rPr>
                <w:rFonts w:ascii="仿宋" w:hAnsi="仿宋" w:eastAsia="仿宋"/>
                <w:bCs/>
                <w:szCs w:val="21"/>
              </w:rPr>
              <w:t>日</w:t>
            </w:r>
            <w:r>
              <w:rPr>
                <w:rFonts w:hint="eastAsia" w:ascii="仿宋" w:hAnsi="仿宋" w:eastAsia="仿宋"/>
                <w:bCs/>
                <w:szCs w:val="21"/>
              </w:rPr>
              <w:t>后2个工作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 xml:space="preserve">根据实际投资结果向华夏银行/华夏理财客户及其他代销机构一次性划付理财本金及收益（如有），其他代销机构客户理财本金及收益（如有）的具体到账账户、到账日及到账时间以代销机构划付规定为准。                                                                                                                                                                                                                                                                                                                                                                                                            </w:t>
            </w:r>
          </w:p>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客户到期/终止每笔本金及收益金额=每笔认购份额*到期/终止日的份额净值，金额计算保留到小数点后2位，小数点后第3位舍去。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发行规模</w:t>
            </w:r>
            <w:r>
              <w:rPr>
                <w:rFonts w:ascii="仿宋" w:hAnsi="仿宋" w:eastAsia="仿宋"/>
                <w:bCs/>
                <w:szCs w:val="21"/>
              </w:rPr>
              <w:t>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1000万元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w:t>
            </w:r>
            <w:r>
              <w:rPr>
                <w:rFonts w:hint="eastAsia" w:ascii="仿宋" w:hAnsi="仿宋" w:eastAsia="仿宋"/>
                <w:bCs/>
                <w:szCs w:val="21"/>
              </w:rPr>
              <w:t>退</w:t>
            </w:r>
            <w:r>
              <w:rPr>
                <w:rFonts w:ascii="仿宋" w:hAnsi="仿宋" w:eastAsia="仿宋"/>
                <w:bCs/>
                <w:szCs w:val="21"/>
              </w:rPr>
              <w:t>回</w:t>
            </w:r>
            <w:r>
              <w:rPr>
                <w:rFonts w:hint="eastAsia" w:ascii="仿宋" w:hAnsi="仿宋" w:eastAsia="仿宋"/>
                <w:bCs/>
                <w:szCs w:val="21"/>
              </w:rPr>
              <w:t>华夏银行/华夏理财客户的理财签约</w:t>
            </w:r>
            <w:r>
              <w:rPr>
                <w:rFonts w:ascii="仿宋" w:hAnsi="仿宋" w:eastAsia="仿宋"/>
                <w:bCs/>
                <w:szCs w:val="21"/>
              </w:rPr>
              <w:t>账户</w:t>
            </w:r>
            <w:r>
              <w:rPr>
                <w:rFonts w:hint="eastAsia" w:ascii="仿宋" w:hAnsi="仿宋" w:eastAsia="仿宋"/>
                <w:bCs/>
                <w:szCs w:val="21"/>
              </w:rPr>
              <w:t>（</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认购起点金额</w:t>
            </w:r>
            <w:r>
              <w:rPr>
                <w:rFonts w:hint="eastAsia" w:ascii="仿宋" w:hAnsi="仿宋" w:eastAsia="仿宋"/>
                <w:bCs/>
                <w:szCs w:val="21"/>
              </w:rPr>
              <w:t>及最高金额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A份额：1</w:t>
            </w:r>
            <w:r>
              <w:rPr>
                <w:rFonts w:ascii="仿宋" w:hAnsi="仿宋" w:eastAsia="仿宋"/>
                <w:bCs/>
                <w:szCs w:val="21"/>
              </w:rPr>
              <w:t>元起购，以</w:t>
            </w:r>
            <w:r>
              <w:rPr>
                <w:rFonts w:hint="eastAsia" w:ascii="仿宋" w:hAnsi="仿宋" w:eastAsia="仿宋"/>
                <w:bCs/>
                <w:szCs w:val="21"/>
              </w:rPr>
              <w:t>1</w:t>
            </w:r>
            <w:r>
              <w:rPr>
                <w:rFonts w:ascii="仿宋" w:hAnsi="仿宋" w:eastAsia="仿宋"/>
                <w:bCs/>
                <w:szCs w:val="21"/>
              </w:rPr>
              <w:t>元的整数倍递增</w:t>
            </w:r>
            <w:r>
              <w:rPr>
                <w:rFonts w:hint="eastAsia" w:ascii="仿宋" w:hAnsi="仿宋" w:eastAsia="仿宋"/>
                <w:bCs/>
                <w:szCs w:val="21"/>
              </w:rPr>
              <w:t>。</w:t>
            </w:r>
            <w:r>
              <w:rPr>
                <w:rFonts w:ascii="仿宋" w:hAnsi="仿宋" w:eastAsia="仿宋"/>
                <w:bCs/>
                <w:szCs w:val="21"/>
              </w:rPr>
              <w:t>认购最高金额</w:t>
            </w:r>
            <w:r>
              <w:rPr>
                <w:rFonts w:hint="eastAsia" w:ascii="仿宋" w:hAnsi="仿宋" w:eastAsia="仿宋"/>
                <w:bCs/>
                <w:szCs w:val="21"/>
              </w:rPr>
              <w:t>不限</w:t>
            </w:r>
            <w:r>
              <w:rPr>
                <w:rFonts w:ascii="仿宋" w:hAnsi="仿宋" w:eastAsia="仿宋"/>
                <w:bCs/>
                <w:szCs w:val="21"/>
              </w:rPr>
              <w:t>。</w:t>
            </w:r>
          </w:p>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B份额：100万</w:t>
            </w:r>
            <w:r>
              <w:rPr>
                <w:rFonts w:ascii="仿宋" w:hAnsi="仿宋" w:eastAsia="仿宋"/>
                <w:bCs/>
                <w:szCs w:val="21"/>
              </w:rPr>
              <w:t>元起购，以</w:t>
            </w:r>
            <w:r>
              <w:rPr>
                <w:rFonts w:hint="eastAsia" w:ascii="仿宋" w:hAnsi="仿宋" w:eastAsia="仿宋"/>
                <w:bCs/>
                <w:szCs w:val="21"/>
              </w:rPr>
              <w:t>1</w:t>
            </w:r>
            <w:r>
              <w:rPr>
                <w:rFonts w:ascii="仿宋" w:hAnsi="仿宋" w:eastAsia="仿宋"/>
                <w:bCs/>
                <w:szCs w:val="21"/>
              </w:rPr>
              <w:t>元的整数倍递增</w:t>
            </w:r>
            <w:r>
              <w:rPr>
                <w:rFonts w:hint="eastAsia" w:ascii="仿宋" w:hAnsi="仿宋" w:eastAsia="仿宋"/>
                <w:bCs/>
                <w:szCs w:val="21"/>
              </w:rPr>
              <w:t>。</w:t>
            </w:r>
            <w:r>
              <w:rPr>
                <w:rFonts w:ascii="仿宋" w:hAnsi="仿宋" w:eastAsia="仿宋"/>
                <w:bCs/>
                <w:szCs w:val="21"/>
              </w:rPr>
              <w:t>认购最高金额</w:t>
            </w:r>
            <w:r>
              <w:rPr>
                <w:rFonts w:hint="eastAsia" w:ascii="仿宋" w:hAnsi="仿宋" w:eastAsia="仿宋"/>
                <w:bCs/>
                <w:szCs w:val="21"/>
              </w:rPr>
              <w:t>不限</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认</w:t>
            </w:r>
            <w:r>
              <w:rPr>
                <w:rFonts w:ascii="仿宋" w:hAnsi="仿宋" w:eastAsia="仿宋"/>
                <w:bCs/>
                <w:szCs w:val="21"/>
              </w:rPr>
              <w:t>购</w:t>
            </w:r>
            <w:r>
              <w:rPr>
                <w:rFonts w:hint="eastAsia" w:ascii="仿宋" w:hAnsi="仿宋" w:eastAsia="仿宋"/>
                <w:bCs/>
                <w:szCs w:val="21"/>
              </w:rPr>
              <w:t xml:space="preserve">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hint="eastAsia" w:ascii="仿宋" w:hAnsi="仿宋" w:eastAsia="仿宋"/>
                <w:bCs/>
                <w:szCs w:val="21"/>
              </w:rPr>
            </w:pPr>
            <w:r>
              <w:rPr>
                <w:rFonts w:hint="eastAsia" w:ascii="仿宋" w:hAnsi="仿宋" w:eastAsia="仿宋"/>
                <w:bCs/>
                <w:szCs w:val="21"/>
              </w:rPr>
              <w:t>认购申请拒绝</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Cs/>
                <w:szCs w:val="21"/>
              </w:rPr>
            </w:pPr>
            <w:r>
              <w:rPr>
                <w:rFonts w:hint="eastAsia" w:ascii="仿宋" w:hAnsi="仿宋" w:eastAsia="仿宋"/>
                <w:bCs/>
                <w:szCs w:val="21"/>
              </w:rPr>
              <w:t>本理财产品可根据市场情况设置或调整产品规模上限，若本理财产品募集金额达到理财产品规模上限：</w:t>
            </w:r>
          </w:p>
          <w:p>
            <w:pPr>
              <w:tabs>
                <w:tab w:val="left" w:pos="720"/>
              </w:tabs>
              <w:adjustRightInd w:val="0"/>
              <w:snapToGrid w:val="0"/>
              <w:spacing w:line="300" w:lineRule="exact"/>
              <w:ind w:firstLine="422" w:firstLineChars="200"/>
              <w:rPr>
                <w:rFonts w:hint="eastAsia" w:ascii="仿宋" w:hAnsi="仿宋" w:eastAsia="仿宋"/>
                <w:b/>
                <w:bCs/>
                <w:szCs w:val="21"/>
              </w:rPr>
            </w:pPr>
            <w:r>
              <w:rPr>
                <w:rFonts w:hint="eastAsia" w:ascii="仿宋" w:hAnsi="仿宋" w:eastAsia="仿宋"/>
                <w:b/>
                <w:bCs/>
                <w:szCs w:val="21"/>
              </w:rPr>
              <w:t>华夏理财有权拒绝超过本理财产品规模上限部分的认购申请（代销机构可控制自身销售额度）。</w:t>
            </w:r>
            <w:r>
              <w:rPr>
                <w:rFonts w:hint="eastAsia" w:ascii="仿宋" w:hAnsi="仿宋" w:eastAsia="仿宋"/>
                <w:b/>
                <w:szCs w:val="21"/>
              </w:rPr>
              <w:t>华夏理财认为接受大额认购/申购申请可能会影响或损害理财产品投资者权益时，有权拒绝或暂停该认购/申购申请。</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
                <w:bCs/>
                <w:szCs w:val="21"/>
              </w:rPr>
            </w:pPr>
            <w:r>
              <w:rPr>
                <w:rFonts w:hint="eastAsia" w:ascii="仿宋" w:hAnsi="仿宋" w:eastAsia="仿宋"/>
                <w:bCs/>
                <w:szCs w:val="21"/>
              </w:rPr>
              <w:t>若因超过产品规模上限,华夏理财拒绝认购</w:t>
            </w:r>
            <w:r>
              <w:rPr>
                <w:rFonts w:ascii="仿宋" w:hAnsi="仿宋" w:eastAsia="仿宋"/>
                <w:bCs/>
                <w:szCs w:val="21"/>
              </w:rPr>
              <w:t>申请时，</w:t>
            </w:r>
            <w:r>
              <w:rPr>
                <w:rFonts w:hint="eastAsia" w:ascii="仿宋" w:hAnsi="仿宋" w:eastAsia="仿宋"/>
                <w:bCs/>
                <w:szCs w:val="21"/>
              </w:rPr>
              <w:t>华夏理财于3个</w:t>
            </w:r>
            <w:r>
              <w:rPr>
                <w:rFonts w:ascii="仿宋" w:hAnsi="仿宋" w:eastAsia="仿宋"/>
                <w:bCs/>
                <w:szCs w:val="21"/>
              </w:rPr>
              <w:t>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披露</w:t>
            </w:r>
            <w:r>
              <w:rPr>
                <w:rFonts w:hint="eastAsia" w:ascii="仿宋" w:hAnsi="仿宋" w:eastAsia="仿宋"/>
                <w:bCs/>
                <w:szCs w:val="21"/>
              </w:rPr>
              <w:t>相应</w:t>
            </w:r>
            <w:r>
              <w:rPr>
                <w:rFonts w:ascii="仿宋" w:hAnsi="仿宋" w:eastAsia="仿宋"/>
                <w:bCs/>
                <w:szCs w:val="21"/>
              </w:rPr>
              <w:t>信息</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认购撤销规定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投资者可撤销已提交的认购申请，具体规定如下：</w:t>
            </w:r>
          </w:p>
          <w:p>
            <w:pPr>
              <w:adjustRightInd w:val="0"/>
              <w:snapToGrid w:val="0"/>
              <w:spacing w:line="300" w:lineRule="exact"/>
              <w:ind w:firstLine="6" w:firstLineChars="3"/>
              <w:rPr>
                <w:rFonts w:hint="eastAsia" w:ascii="仿宋" w:hAnsi="仿宋" w:eastAsia="仿宋"/>
                <w:bCs/>
                <w:szCs w:val="21"/>
              </w:rPr>
            </w:pPr>
            <w:r>
              <w:rPr>
                <w:rFonts w:hint="eastAsia" w:ascii="仿宋" w:hAnsi="仿宋" w:eastAsia="仿宋"/>
                <w:bCs/>
                <w:szCs w:val="21"/>
              </w:rPr>
              <w:t xml:space="preserve">    </w:t>
            </w:r>
            <w:r>
              <w:rPr>
                <w:rFonts w:ascii="仿宋" w:hAnsi="仿宋" w:eastAsia="仿宋"/>
                <w:bCs/>
                <w:szCs w:val="21"/>
              </w:rPr>
              <w:t>(</w:t>
            </w:r>
            <w:r>
              <w:rPr>
                <w:rFonts w:hint="eastAsia" w:ascii="仿宋" w:hAnsi="仿宋" w:eastAsia="仿宋"/>
                <w:bCs/>
                <w:szCs w:val="21"/>
              </w:rPr>
              <w:t>1)只能全额撤销。</w:t>
            </w:r>
          </w:p>
          <w:p>
            <w:pPr>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2)通过华夏银行/华夏理财认购的，投资者撤销的本金实时到账；通过其他代销机构认购的，撤销规定以代销机构规定为准。</w:t>
            </w:r>
          </w:p>
          <w:p>
            <w:pPr>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3)</w:t>
            </w:r>
            <w:r>
              <w:rPr>
                <w:rFonts w:hint="eastAsia" w:ascii="仿宋" w:hAnsi="仿宋" w:eastAsia="仿宋"/>
              </w:rPr>
              <w:t>募集期最后一日17:30（含）之后</w:t>
            </w:r>
            <w:r>
              <w:rPr>
                <w:rFonts w:hint="eastAsia" w:ascii="仿宋" w:hAnsi="仿宋" w:eastAsia="仿宋"/>
                <w:bCs/>
                <w:szCs w:val="21"/>
              </w:rPr>
              <w:t>不能进行撤销。通过其他代销机构认购的，撤销规定以该代销机构规定为准。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认购费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本理财产品不收取认购费。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ind w:firstLine="420"/>
              <w:jc w:val="left"/>
              <w:rPr>
                <w:rFonts w:hint="eastAsia" w:ascii="仿宋" w:hAnsi="仿宋" w:eastAsia="仿宋"/>
                <w:bCs/>
                <w:szCs w:val="21"/>
              </w:rPr>
            </w:pPr>
            <w:r>
              <w:rPr>
                <w:rFonts w:hint="eastAsia" w:ascii="仿宋" w:hAnsi="仿宋" w:eastAsia="仿宋"/>
                <w:bCs/>
                <w:szCs w:val="21"/>
              </w:rPr>
              <w:t>0.05%/年，以前一日资产净值为基数，每日计提。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jc w:val="left"/>
              <w:rPr>
                <w:rFonts w:hint="eastAsia" w:ascii="仿宋" w:hAnsi="仿宋" w:eastAsia="仿宋"/>
                <w:bCs/>
                <w:szCs w:val="21"/>
              </w:rPr>
            </w:pPr>
            <w:r>
              <w:rPr>
                <w:rFonts w:hint="eastAsia" w:ascii="仿宋" w:hAnsi="仿宋" w:eastAsia="仿宋"/>
                <w:bCs/>
                <w:szCs w:val="21"/>
              </w:rPr>
              <w:t>A份额：0.35%/年，以前一日资产净值为基数，每日计提。</w:t>
            </w:r>
          </w:p>
          <w:p>
            <w:pPr>
              <w:adjustRightInd w:val="0"/>
              <w:snapToGrid w:val="0"/>
              <w:spacing w:line="300" w:lineRule="exact"/>
              <w:ind w:firstLine="420"/>
              <w:jc w:val="left"/>
              <w:rPr>
                <w:rFonts w:hint="eastAsia" w:ascii="仿宋" w:hAnsi="仿宋" w:eastAsia="仿宋"/>
                <w:bCs/>
                <w:szCs w:val="21"/>
              </w:rPr>
            </w:pPr>
            <w:r>
              <w:rPr>
                <w:rFonts w:hint="eastAsia" w:ascii="仿宋" w:hAnsi="仿宋" w:eastAsia="仿宋"/>
                <w:bCs/>
                <w:szCs w:val="21"/>
              </w:rPr>
              <w:t>B份额：0.30%/年，以前一日资产净值为基数，每日计提。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0.20%/年，以前一日资产净值为基数，每日计提。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A份额：扣除各项费用（包括销售手续费、托管费、固定管理费及</w:t>
            </w:r>
            <w:r>
              <w:rPr>
                <w:rFonts w:ascii="仿宋" w:hAnsi="仿宋" w:eastAsia="仿宋"/>
                <w:bCs/>
                <w:szCs w:val="21"/>
              </w:rPr>
              <w:t>其他费用</w:t>
            </w:r>
            <w:r>
              <w:rPr>
                <w:rFonts w:hint="eastAsia" w:ascii="仿宋" w:hAnsi="仿宋" w:eastAsia="仿宋"/>
                <w:bCs/>
                <w:szCs w:val="21"/>
              </w:rPr>
              <w:t>等）后，产品实现的年化收益率低于或等于4.85%，则管理人不收取超额管理费；年化收益率超过4.85%的部分，50</w:t>
            </w:r>
            <w:r>
              <w:rPr>
                <w:rFonts w:ascii="仿宋" w:hAnsi="仿宋" w:eastAsia="仿宋"/>
                <w:bCs/>
                <w:szCs w:val="21"/>
              </w:rPr>
              <w:t>%</w:t>
            </w:r>
            <w:r>
              <w:rPr>
                <w:rFonts w:hint="eastAsia" w:ascii="仿宋" w:hAnsi="仿宋" w:eastAsia="仿宋"/>
                <w:bCs/>
                <w:szCs w:val="21"/>
              </w:rPr>
              <w:t>归投资人所有，其余作为管理人的超额管理费。</w:t>
            </w:r>
          </w:p>
          <w:p>
            <w:pPr>
              <w:adjustRightInd w:val="0"/>
              <w:snapToGrid w:val="0"/>
              <w:spacing w:line="300" w:lineRule="exact"/>
              <w:ind w:firstLine="420"/>
              <w:rPr>
                <w:rFonts w:hint="eastAsia" w:ascii="仿宋" w:hAnsi="仿宋" w:eastAsia="仿宋"/>
                <w:bCs/>
                <w:szCs w:val="21"/>
              </w:rPr>
            </w:pPr>
            <w:r>
              <w:rPr>
                <w:rFonts w:hint="eastAsia" w:ascii="仿宋" w:hAnsi="仿宋" w:eastAsia="仿宋"/>
                <w:bCs/>
                <w:szCs w:val="21"/>
              </w:rPr>
              <w:t>B份额：扣除各项费用（包括销售手续费、托管费、固定管理费及</w:t>
            </w:r>
            <w:r>
              <w:rPr>
                <w:rFonts w:ascii="仿宋" w:hAnsi="仿宋" w:eastAsia="仿宋"/>
                <w:bCs/>
                <w:szCs w:val="21"/>
              </w:rPr>
              <w:t>其他费用</w:t>
            </w:r>
            <w:r>
              <w:rPr>
                <w:rFonts w:hint="eastAsia" w:ascii="仿宋" w:hAnsi="仿宋" w:eastAsia="仿宋"/>
                <w:bCs/>
                <w:szCs w:val="21"/>
              </w:rPr>
              <w:t>等）后，产品实现的年化收益率低于或等于4.90%，则管理人不收取超额管理费；年化收益率超过4.90%的部分，50</w:t>
            </w:r>
            <w:r>
              <w:rPr>
                <w:rFonts w:ascii="仿宋" w:hAnsi="仿宋" w:eastAsia="仿宋"/>
                <w:bCs/>
                <w:szCs w:val="21"/>
              </w:rPr>
              <w:t>%</w:t>
            </w:r>
            <w:r>
              <w:rPr>
                <w:rFonts w:hint="eastAsia" w:ascii="仿宋" w:hAnsi="仿宋" w:eastAsia="仿宋"/>
                <w:bCs/>
                <w:szCs w:val="21"/>
              </w:rPr>
              <w:t>归投资人所有，其余作为管理人的超额管理费。</w:t>
            </w:r>
          </w:p>
          <w:p>
            <w:pPr>
              <w:adjustRightInd w:val="0"/>
              <w:snapToGrid w:val="0"/>
              <w:spacing w:line="300" w:lineRule="exact"/>
              <w:ind w:firstLine="420"/>
              <w:rPr>
                <w:rFonts w:hint="eastAsia" w:ascii="仿宋" w:hAnsi="仿宋" w:eastAsia="仿宋"/>
                <w:bCs/>
                <w:szCs w:val="21"/>
                <w:u w:val="single"/>
              </w:rPr>
            </w:pPr>
            <w:r>
              <w:rPr>
                <w:rFonts w:hint="eastAsia" w:ascii="仿宋" w:hAnsi="仿宋" w:eastAsia="仿宋"/>
                <w:b/>
                <w:color w:val="000000"/>
                <w:szCs w:val="21"/>
              </w:rPr>
              <w:t>华夏理财有权根据市场情</w:t>
            </w:r>
            <w:r>
              <w:rPr>
                <w:rFonts w:hint="eastAsia" w:ascii="仿宋" w:hAnsi="仿宋" w:eastAsia="仿宋"/>
                <w:b/>
                <w:szCs w:val="21"/>
              </w:rPr>
              <w:t>况及产品运作情况调整上述规则，并至少于生效前3个工作日通过华夏银行官方网站等渠道披露相关公告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jc w:val="left"/>
              <w:rPr>
                <w:rFonts w:hint="eastAsia"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jc w:val="left"/>
              <w:rPr>
                <w:rFonts w:hint="eastAsia" w:ascii="仿宋" w:hAnsi="仿宋" w:eastAsia="仿宋"/>
                <w:bCs/>
                <w:szCs w:val="21"/>
                <w:lang w:val="en-UK"/>
              </w:rPr>
            </w:pPr>
            <w:r>
              <w:rPr>
                <w:rFonts w:hint="eastAsia" w:ascii="仿宋" w:hAnsi="仿宋" w:eastAsia="仿宋"/>
                <w:bCs/>
                <w:szCs w:val="21"/>
              </w:rPr>
              <w:t>份额净值为提取管理费、托管费、销售费等相关费用后的理财产品份额净值，投资者按该份额净值进行到期/终止时的分配。份额净值的计算保留到小数点后4位，小数点后第5位四舍五入</w:t>
            </w:r>
            <w:r>
              <w:rPr>
                <w:rFonts w:hint="eastAsia" w:ascii="仿宋" w:hAnsi="仿宋" w:eastAsia="仿宋"/>
                <w:bCs/>
                <w:szCs w:val="21"/>
                <w:lang w:val="en-UK"/>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jc w:val="center"/>
              <w:rPr>
                <w:rFonts w:hint="eastAsia"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每周五后的第3个工作日为份额净值公告日，公告每周五份额净值(如周五为非工作日，则公告周五上一个工作日的份额净值；如当周没有第3个工作日，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2" w:firstLineChars="200"/>
              <w:jc w:val="left"/>
              <w:rPr>
                <w:rFonts w:hint="eastAsia" w:ascii="仿宋" w:hAnsi="仿宋" w:eastAsia="仿宋"/>
                <w:b/>
                <w:bCs/>
                <w:szCs w:val="21"/>
              </w:rPr>
            </w:pPr>
            <w:r>
              <w:rPr>
                <w:rFonts w:hint="eastAsia" w:ascii="仿宋" w:hAnsi="仿宋" w:eastAsia="仿宋"/>
                <w:b/>
                <w:bCs/>
                <w:szCs w:val="21"/>
              </w:rPr>
              <w:t>份额净值公告日中的工作日，指上海证券交易所和深圳证券交易所的交易日，且同时为银行对外办理一般对公业务的工作日。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1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jc w:val="center"/>
              <w:rPr>
                <w:rFonts w:hint="eastAsia"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cs="宋体"/>
                <w:kern w:val="0"/>
                <w:szCs w:val="21"/>
              </w:rPr>
            </w:pPr>
            <w:r>
              <w:rPr>
                <w:rFonts w:hint="eastAsia" w:ascii="仿宋" w:hAnsi="仿宋" w:eastAsia="仿宋" w:cs="宋体"/>
                <w:kern w:val="0"/>
                <w:szCs w:val="21"/>
              </w:rPr>
              <w:t>本理财产品不分红。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300" w:lineRule="exact"/>
              <w:ind w:right="-44" w:firstLine="420" w:firstLineChars="200"/>
              <w:jc w:val="left"/>
              <w:rPr>
                <w:rFonts w:hint="eastAsia" w:ascii="仿宋" w:hAnsi="仿宋" w:eastAsia="仿宋"/>
                <w:bCs/>
                <w:szCs w:val="21"/>
              </w:rPr>
            </w:pPr>
            <w:r>
              <w:rPr>
                <w:rFonts w:hint="eastAsia" w:ascii="仿宋" w:hAnsi="仿宋" w:eastAsia="仿宋"/>
                <w:bCs/>
                <w:szCs w:val="21"/>
              </w:rPr>
              <w:t>指国家法定工作日。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300" w:lineRule="exact"/>
              <w:ind w:firstLine="420" w:firstLineChars="200"/>
              <w:jc w:val="left"/>
              <w:rPr>
                <w:rFonts w:ascii="仿宋" w:hAnsi="仿宋" w:eastAsia="仿宋"/>
                <w:bCs/>
                <w:szCs w:val="21"/>
              </w:rPr>
            </w:pPr>
            <w:r>
              <w:rPr>
                <w:rFonts w:ascii="仿宋" w:hAnsi="仿宋" w:eastAsia="仿宋"/>
                <w:bCs/>
                <w:szCs w:val="21"/>
              </w:rPr>
              <w:t>一、</w:t>
            </w:r>
            <w:r>
              <w:rPr>
                <w:rFonts w:ascii="仿宋" w:hAnsi="仿宋" w:eastAsia="仿宋"/>
                <w:b/>
                <w:szCs w:val="21"/>
              </w:rPr>
              <w:t>投资者提前终止权</w:t>
            </w:r>
          </w:p>
          <w:p>
            <w:pPr>
              <w:autoSpaceDE w:val="0"/>
              <w:autoSpaceDN w:val="0"/>
              <w:adjustRightInd w:val="0"/>
              <w:snapToGrid w:val="0"/>
              <w:spacing w:line="300" w:lineRule="exact"/>
              <w:ind w:firstLine="422" w:firstLineChars="200"/>
              <w:jc w:val="left"/>
              <w:rPr>
                <w:rFonts w:ascii="仿宋" w:hAnsi="仿宋" w:eastAsia="仿宋"/>
                <w:bCs/>
                <w:szCs w:val="21"/>
              </w:rPr>
            </w:pPr>
            <w:r>
              <w:rPr>
                <w:rFonts w:hint="eastAsia" w:ascii="仿宋" w:hAnsi="仿宋" w:eastAsia="仿宋"/>
                <w:b/>
                <w:szCs w:val="21"/>
              </w:rPr>
              <w:t>华夏理财调整</w:t>
            </w:r>
            <w:r>
              <w:rPr>
                <w:rFonts w:ascii="仿宋" w:hAnsi="仿宋" w:eastAsia="仿宋"/>
                <w:b/>
                <w:szCs w:val="21"/>
              </w:rPr>
              <w:t>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华夏银行</w:t>
            </w:r>
            <w:r>
              <w:rPr>
                <w:rFonts w:ascii="仿宋" w:hAnsi="仿宋" w:eastAsia="仿宋"/>
                <w:b/>
                <w:szCs w:val="21"/>
              </w:rPr>
              <w:t>官方网站等渠道公告</w:t>
            </w:r>
            <w:r>
              <w:rPr>
                <w:rFonts w:hint="eastAsia" w:ascii="仿宋" w:hAnsi="仿宋" w:eastAsia="仿宋"/>
                <w:bCs/>
                <w:szCs w:val="21"/>
              </w:rPr>
              <w:t>。除本说明书第十部分“特别提示”所列情形外，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华夏理财/代销机构</w:t>
            </w:r>
            <w:r>
              <w:rPr>
                <w:rFonts w:ascii="仿宋" w:hAnsi="仿宋" w:eastAsia="仿宋"/>
                <w:bCs/>
                <w:szCs w:val="21"/>
              </w:rPr>
              <w:t>申请提前赎回并办理相关手续。</w:t>
            </w:r>
          </w:p>
          <w:p>
            <w:pPr>
              <w:autoSpaceDE w:val="0"/>
              <w:autoSpaceDN w:val="0"/>
              <w:adjustRightInd w:val="0"/>
              <w:snapToGrid w:val="0"/>
              <w:spacing w:line="300" w:lineRule="exac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300" w:lineRule="exac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cs="宋体"/>
                <w:bCs/>
                <w:szCs w:val="21"/>
              </w:rPr>
              <w:t>①</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300" w:lineRule="exact"/>
              <w:ind w:firstLine="420" w:firstLineChars="200"/>
              <w:jc w:val="left"/>
              <w:rPr>
                <w:rFonts w:ascii="仿宋" w:hAnsi="仿宋" w:eastAsia="仿宋"/>
                <w:bCs/>
                <w:szCs w:val="21"/>
              </w:rPr>
            </w:pPr>
            <w:r>
              <w:rPr>
                <w:rFonts w:hint="eastAsia" w:ascii="仿宋" w:hAnsi="仿宋" w:eastAsia="仿宋" w:cs="宋体"/>
                <w:bCs/>
                <w:szCs w:val="21"/>
              </w:rPr>
              <w:t>③</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hint="eastAsia" w:ascii="仿宋" w:hAnsi="仿宋" w:eastAsia="仿宋" w:cs="宋体"/>
                <w:bCs/>
                <w:szCs w:val="21"/>
              </w:rPr>
              <w:t>④</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300" w:lineRule="exact"/>
              <w:ind w:firstLine="420" w:firstLineChars="200"/>
              <w:jc w:val="left"/>
              <w:rPr>
                <w:rFonts w:hint="eastAsia"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华夏银行</w:t>
            </w:r>
            <w:r>
              <w:rPr>
                <w:rFonts w:ascii="仿宋" w:hAnsi="仿宋" w:eastAsia="仿宋"/>
                <w:bCs/>
                <w:szCs w:val="21"/>
              </w:rPr>
              <w:t>官方网站等渠道</w:t>
            </w:r>
            <w:r>
              <w:rPr>
                <w:rFonts w:hint="eastAsia" w:ascii="仿宋" w:hAnsi="仿宋" w:eastAsia="仿宋"/>
                <w:bCs/>
                <w:szCs w:val="21"/>
              </w:rPr>
              <w:t>发布</w:t>
            </w:r>
            <w:r>
              <w:rPr>
                <w:rFonts w:ascii="仿宋" w:hAnsi="仿宋" w:eastAsia="仿宋"/>
                <w:bCs/>
                <w:szCs w:val="21"/>
              </w:rPr>
              <w:t>公告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根据法律法规规定，本理财产品在资产管理、运营、处置过程中产生收入应缴纳和承担税收和规费的，由本产品管理人直接从理财资产中扣付缴纳。</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cs="宋体"/>
                <w:kern w:val="0"/>
                <w:szCs w:val="21"/>
              </w:rPr>
            </w:pPr>
            <w:r>
              <w:rPr>
                <w:rFonts w:ascii="仿宋" w:hAnsi="仿宋" w:eastAsia="仿宋" w:cs="宋体"/>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numPr>
                <w:ilvl w:val="0"/>
                <w:numId w:val="1"/>
              </w:numPr>
              <w:adjustRightInd w:val="0"/>
              <w:snapToGrid w:val="0"/>
              <w:spacing w:line="300" w:lineRule="exact"/>
              <w:ind w:firstLine="420" w:firstLineChars="200"/>
              <w:rPr>
                <w:rFonts w:hint="eastAsia" w:ascii="仿宋" w:hAnsi="仿宋" w:eastAsia="仿宋" w:cs="宋体"/>
                <w:kern w:val="0"/>
                <w:szCs w:val="21"/>
              </w:rPr>
            </w:pP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rPr>
                <w:rFonts w:hint="eastAsia" w:ascii="仿宋" w:hAnsi="仿宋" w:eastAsia="仿宋" w:cs="宋体"/>
                <w:kern w:val="0"/>
                <w:szCs w:val="21"/>
              </w:rPr>
            </w:pPr>
            <w:r>
              <w:rPr>
                <w:rFonts w:hint="eastAsia" w:ascii="仿宋" w:hAnsi="仿宋" w:eastAsia="仿宋" w:cs="宋体"/>
                <w:kern w:val="0"/>
                <w:szCs w:val="21"/>
              </w:rPr>
              <w:t xml:space="preserve">    2.由华夏理财销售的，募集期</w:t>
            </w:r>
            <w:r>
              <w:rPr>
                <w:rFonts w:ascii="仿宋" w:hAnsi="仿宋" w:eastAsia="仿宋" w:cs="宋体"/>
                <w:kern w:val="0"/>
                <w:szCs w:val="21"/>
              </w:rPr>
              <w:t>认购</w:t>
            </w:r>
            <w:r>
              <w:rPr>
                <w:rFonts w:hint="eastAsia" w:ascii="仿宋" w:hAnsi="仿宋" w:eastAsia="仿宋" w:cs="宋体"/>
                <w:kern w:val="0"/>
                <w:szCs w:val="21"/>
              </w:rPr>
              <w:t>确认</w:t>
            </w:r>
            <w:r>
              <w:rPr>
                <w:rFonts w:ascii="仿宋" w:hAnsi="仿宋" w:eastAsia="仿宋" w:cs="宋体"/>
                <w:kern w:val="0"/>
                <w:szCs w:val="21"/>
              </w:rPr>
              <w:t>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息，且该利息计入认购本金</w:t>
            </w:r>
            <w:r>
              <w:rPr>
                <w:rFonts w:hint="eastAsia" w:ascii="仿宋" w:hAnsi="仿宋" w:eastAsia="仿宋" w:cs="宋体"/>
                <w:kern w:val="0"/>
                <w:szCs w:val="21"/>
              </w:rPr>
              <w:t>。</w:t>
            </w:r>
          </w:p>
          <w:p>
            <w:pPr>
              <w:adjustRightInd w:val="0"/>
              <w:snapToGrid w:val="0"/>
              <w:spacing w:line="300" w:lineRule="exact"/>
              <w:ind w:firstLine="420" w:firstLineChars="200"/>
              <w:rPr>
                <w:rFonts w:hint="eastAsia" w:ascii="仿宋" w:hAnsi="仿宋" w:eastAsia="仿宋" w:cs="宋体"/>
                <w:kern w:val="0"/>
                <w:szCs w:val="21"/>
              </w:rPr>
            </w:pPr>
            <w:r>
              <w:rPr>
                <w:rFonts w:hint="eastAsia" w:ascii="仿宋" w:hAnsi="仿宋" w:eastAsia="仿宋" w:cs="宋体"/>
                <w:kern w:val="0"/>
                <w:szCs w:val="21"/>
              </w:rPr>
              <w:t>3.由</w:t>
            </w:r>
            <w:r>
              <w:rPr>
                <w:rFonts w:ascii="仿宋" w:hAnsi="仿宋" w:eastAsia="仿宋" w:cs="宋体"/>
                <w:kern w:val="0"/>
                <w:szCs w:val="21"/>
              </w:rPr>
              <w:t>其他代销机构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300" w:lineRule="exact"/>
              <w:ind w:firstLine="420" w:firstLineChars="200"/>
              <w:rPr>
                <w:rFonts w:hint="eastAsia" w:ascii="仿宋" w:hAnsi="仿宋" w:eastAsia="仿宋" w:cs="宋体"/>
                <w:kern w:val="0"/>
                <w:szCs w:val="21"/>
              </w:rPr>
            </w:pPr>
            <w:r>
              <w:rPr>
                <w:rFonts w:hint="eastAsia" w:ascii="仿宋" w:hAnsi="仿宋" w:eastAsia="仿宋" w:cs="宋体"/>
                <w:kern w:val="0"/>
                <w:szCs w:val="21"/>
              </w:rPr>
              <w:t>4.理财产品到期/终止日（不含）至资金到账日（不含）之间，投资者资金不计存款利息及理财收益。</w:t>
            </w:r>
          </w:p>
        </w:tc>
      </w:tr>
    </w:tbl>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本产品主要投资于货币市场工具、标准化债权类资产、非标准化债权类资产等固定收益类资产、权益类资产、商品及金融衍生品类资产及资产管理产品，其中资产管理产品需符合产品约定的投资范围。</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其中货币市场工具包括但不限于银行存款、大额存单、同业存单（CD）、短期融资券、超短期融资券、剩余期限在397天以内（含397天）的债券、期限在一年以内（含一年）的债券回购、期限在一年以内（含一年）的中央银行票据、货币市场基金以及中国人民银行、中国银保监会认可的其他具有良好流动性的金融工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非标准化债权类资产包括《标准化债权类资产认定规则》认定的非标准化债权类资产；</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商品类资产包括贵金属和大宗商品等以实物形式存在的商品资产；金融衍生品类资产包括但不限于远期合同、期货合同、互换和期权，以及具有远期合同、期货合同、互换和期权一种或一种以上特征的工具。</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各类资产投资比例如下：</w:t>
      </w:r>
    </w:p>
    <w:tbl>
      <w:tblPr>
        <w:tblStyle w:val="10"/>
        <w:tblW w:w="8063" w:type="dxa"/>
        <w:jc w:val="center"/>
        <w:tblCellSpacing w:w="0" w:type="dxa"/>
        <w:tblInd w:w="-15" w:type="dxa"/>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2884"/>
        <w:gridCol w:w="5179"/>
      </w:tblGrid>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eastAsia="仿宋"/>
                <w:color w:val="000000"/>
                <w:kern w:val="0"/>
                <w:sz w:val="24"/>
              </w:rPr>
              <w:t>投资比例</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固定收益类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60%（含）-80%（不含）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权益类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0%-40%</w:t>
            </w:r>
            <w:r>
              <w:rPr>
                <w:rFonts w:hint="eastAsia" w:ascii="仿宋" w:hAnsi="仿宋" w:eastAsia="仿宋" w:cs="宋体"/>
                <w:color w:val="000000"/>
                <w:kern w:val="0"/>
                <w:sz w:val="24"/>
                <w:szCs w:val="20"/>
              </w:rPr>
              <w:t>（不含）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380" w:hRule="atLeast"/>
          <w:tblCellSpacing w:w="0" w:type="dxa"/>
          <w:jc w:val="center"/>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hint="eastAsia" w:eastAsia="仿宋"/>
                <w:color w:val="000000"/>
                <w:kern w:val="0"/>
                <w:sz w:val="24"/>
              </w:rPr>
            </w:pPr>
            <w:r>
              <w:rPr>
                <w:rFonts w:hint="eastAsia" w:ascii="仿宋" w:hAnsi="仿宋" w:eastAsia="仿宋" w:cs="宋体"/>
                <w:color w:val="000000"/>
                <w:kern w:val="0"/>
                <w:sz w:val="24"/>
                <w:szCs w:val="20"/>
              </w:rPr>
              <w:t>商品及金融衍生品类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0%-20%（不含）</w:t>
            </w:r>
          </w:p>
        </w:tc>
      </w:tr>
    </w:tbl>
    <w:p>
      <w:pPr>
        <w:widowControl/>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bCs/>
          <w:kern w:val="0"/>
          <w:sz w:val="24"/>
        </w:rPr>
        <w:t>如资产类别及投资比例发生调整，产品管理人将于调整事项生效前</w:t>
      </w:r>
      <w:r>
        <w:rPr>
          <w:rFonts w:ascii="仿宋" w:hAnsi="仿宋" w:eastAsia="仿宋" w:cs="宋体"/>
          <w:b/>
          <w:bCs/>
          <w:kern w:val="0"/>
          <w:sz w:val="24"/>
        </w:rPr>
        <w:t>3</w:t>
      </w:r>
      <w:r>
        <w:rPr>
          <w:rFonts w:hint="eastAsia" w:ascii="仿宋" w:hAnsi="仿宋" w:eastAsia="仿宋" w:cs="宋体"/>
          <w:b/>
          <w:bCs/>
          <w:kern w:val="0"/>
          <w:sz w:val="24"/>
        </w:rPr>
        <w:t>个工作日通过华夏银行官方网站等渠道予以公布。</w:t>
      </w:r>
      <w:r>
        <w:rPr>
          <w:rFonts w:hint="eastAsia" w:ascii="仿宋" w:hAnsi="仿宋" w:eastAsia="仿宋" w:cs="宋体"/>
          <w:kern w:val="0"/>
          <w:sz w:val="24"/>
        </w:rPr>
        <w:t>若本理财产品的投资人不接受上述调整，则应在公告规定时间内提前赎回本理财产品；</w:t>
      </w:r>
      <w:r>
        <w:rPr>
          <w:rFonts w:hint="eastAsia" w:ascii="仿宋" w:hAnsi="仿宋" w:eastAsia="仿宋" w:cs="宋体"/>
          <w:b/>
          <w:bCs/>
          <w:kern w:val="0"/>
          <w:sz w:val="24"/>
        </w:rPr>
        <w:t>若本理财产品投资人未在公告规定时间内提前赎回本理财产品，则视为其对相关调整无异议且同意在调整后继续持有本理财产品。</w:t>
      </w:r>
      <w:r>
        <w:rPr>
          <w:rFonts w:hint="eastAsia" w:ascii="仿宋" w:hAnsi="仿宋" w:eastAsia="仿宋" w:cs="宋体"/>
          <w:kern w:val="0"/>
          <w:sz w:val="24"/>
        </w:rPr>
        <w:t>非因产品管理人主观因素导致本理财产品</w:t>
      </w:r>
      <w:r>
        <w:rPr>
          <w:rFonts w:hint="eastAsia" w:ascii="仿宋" w:hAnsi="仿宋" w:eastAsia="仿宋" w:cs="宋体"/>
          <w:color w:val="000000"/>
          <w:kern w:val="0"/>
          <w:sz w:val="24"/>
        </w:rPr>
        <w:t>突破上述投资比例限制的</w:t>
      </w:r>
      <w:r>
        <w:rPr>
          <w:rFonts w:hint="eastAsia" w:ascii="仿宋" w:hAnsi="仿宋" w:eastAsia="仿宋" w:cs="宋体"/>
          <w:kern w:val="0"/>
          <w:sz w:val="24"/>
        </w:rPr>
        <w:t>，本理财产品管理人应当在所投资产的</w:t>
      </w:r>
      <w:r>
        <w:rPr>
          <w:rFonts w:hint="eastAsia" w:ascii="仿宋" w:hAnsi="仿宋" w:eastAsia="仿宋"/>
          <w:sz w:val="24"/>
        </w:rPr>
        <w:t>流动性受限资产可出售、可转让或者恢复交易的15</w:t>
      </w:r>
      <w:r>
        <w:rPr>
          <w:rFonts w:hint="eastAsia" w:ascii="仿宋" w:hAnsi="仿宋" w:eastAsia="仿宋" w:cs="宋体"/>
          <w:kern w:val="0"/>
          <w:sz w:val="24"/>
        </w:rPr>
        <w:t>个工作日内</w:t>
      </w:r>
      <w:r>
        <w:rPr>
          <w:rFonts w:hint="eastAsia" w:ascii="仿宋" w:hAnsi="仿宋" w:eastAsia="仿宋" w:cs="宋体"/>
          <w:color w:val="000000"/>
          <w:kern w:val="0"/>
          <w:sz w:val="24"/>
        </w:rPr>
        <w:t>将本理财产品调整至上述投资比例内，监管规定的特殊情形除外</w:t>
      </w:r>
      <w:r>
        <w:rPr>
          <w:rFonts w:hint="eastAsia" w:ascii="仿宋" w:hAnsi="仿宋" w:eastAsia="仿宋" w:cs="宋体"/>
          <w:kern w:val="0"/>
          <w:sz w:val="24"/>
        </w:rPr>
        <w:t>。</w:t>
      </w:r>
    </w:p>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三、理财产品管理人及托管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kern w:val="0"/>
          <w:sz w:val="24"/>
        </w:rPr>
        <w:t>本理财产品</w:t>
      </w:r>
      <w:r>
        <w:rPr>
          <w:rFonts w:hint="eastAsia" w:ascii="仿宋" w:hAnsi="仿宋" w:eastAsia="仿宋" w:cs="宋体"/>
          <w:kern w:val="0"/>
          <w:sz w:val="24"/>
        </w:rPr>
        <w:t>托管人为</w:t>
      </w:r>
      <w:r>
        <w:rPr>
          <w:rFonts w:hint="eastAsia" w:ascii="仿宋" w:hAnsi="仿宋" w:eastAsia="仿宋" w:cs="宋体"/>
          <w:color w:val="000000"/>
          <w:kern w:val="0"/>
          <w:sz w:val="24"/>
        </w:rPr>
        <w:t>华夏银行股份有限公司</w:t>
      </w:r>
      <w:r>
        <w:rPr>
          <w:rFonts w:hint="eastAsia" w:ascii="仿宋" w:hAnsi="仿宋" w:eastAsia="仿宋" w:cs="宋体"/>
          <w:kern w:val="0"/>
          <w:sz w:val="24"/>
        </w:rPr>
        <w:t>。</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（一）基本信息</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（二）主要职责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3.按照托管协议约定和理财产品管理人的投资指令，及时办理清算、交割事宜；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4.建立与理财产品管理人的对账机制，复核、审查理财产品资金头寸、资产账目、资产净值、认购和赎回价格等数据，及时核查认购、赎回以及投资资金的支付和到账情况；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5.监督理财产品投资运作，发现理财产品违反法律、行政法规、规章规定或合同约定投资的，应当拒绝执行，及时通知理财产品管理人并报告银行业监督管理机构；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9.国务院银行业监督管理机构规定的其他职责。</w:t>
      </w:r>
    </w:p>
    <w:p>
      <w:pPr>
        <w:pStyle w:val="1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理财产品</w:t>
      </w:r>
      <w:r>
        <w:rPr>
          <w:rFonts w:hint="eastAsia" w:ascii="仿宋" w:hAnsi="仿宋" w:eastAsia="仿宋" w:cs="宋体"/>
          <w:kern w:val="0"/>
          <w:sz w:val="24"/>
        </w:rPr>
        <w:t>份额净值</w:t>
      </w:r>
      <w:r>
        <w:rPr>
          <w:rFonts w:ascii="仿宋" w:hAnsi="仿宋" w:eastAsia="仿宋" w:cs="宋体"/>
          <w:kern w:val="0"/>
          <w:sz w:val="24"/>
        </w:rPr>
        <w:t>＝理财产品</w:t>
      </w:r>
      <w:r>
        <w:rPr>
          <w:rFonts w:hint="eastAsia" w:ascii="仿宋" w:hAnsi="仿宋" w:eastAsia="仿宋" w:cs="宋体"/>
          <w:kern w:val="0"/>
          <w:sz w:val="24"/>
        </w:rPr>
        <w:t>资产</w:t>
      </w:r>
      <w:r>
        <w:rPr>
          <w:rFonts w:ascii="仿宋" w:hAnsi="仿宋" w:eastAsia="仿宋" w:cs="宋体"/>
          <w:kern w:val="0"/>
          <w:sz w:val="24"/>
        </w:rPr>
        <w:t>净值/理财产品份额</w:t>
      </w:r>
      <w:r>
        <w:rPr>
          <w:rFonts w:hint="eastAsia"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理财产品</w:t>
      </w:r>
      <w:r>
        <w:rPr>
          <w:rFonts w:hint="eastAsia" w:ascii="仿宋" w:hAnsi="仿宋" w:eastAsia="仿宋" w:cs="宋体"/>
          <w:kern w:val="0"/>
          <w:sz w:val="24"/>
        </w:rPr>
        <w:t>份额净值</w:t>
      </w:r>
      <w:r>
        <w:rPr>
          <w:rFonts w:ascii="仿宋" w:hAnsi="仿宋" w:eastAsia="仿宋" w:cs="宋体"/>
          <w:kern w:val="0"/>
          <w:sz w:val="24"/>
        </w:rPr>
        <w:t>为提取相关费用后的</w:t>
      </w:r>
      <w:r>
        <w:rPr>
          <w:rFonts w:hint="eastAsia" w:ascii="仿宋" w:hAnsi="仿宋" w:eastAsia="仿宋" w:cs="宋体"/>
          <w:kern w:val="0"/>
          <w:sz w:val="24"/>
        </w:rPr>
        <w:t>份额净值</w:t>
      </w:r>
      <w:r>
        <w:rPr>
          <w:rFonts w:ascii="仿宋" w:hAnsi="仿宋" w:eastAsia="仿宋" w:cs="宋体"/>
          <w:kern w:val="0"/>
          <w:sz w:val="24"/>
        </w:rPr>
        <w:t>，投资者按</w:t>
      </w:r>
      <w:r>
        <w:rPr>
          <w:rFonts w:hint="eastAsia" w:ascii="仿宋" w:hAnsi="仿宋" w:eastAsia="仿宋" w:cs="宋体"/>
          <w:kern w:val="0"/>
          <w:sz w:val="24"/>
        </w:rPr>
        <w:t>到期日/终止日份额净值</w:t>
      </w:r>
      <w:r>
        <w:rPr>
          <w:rFonts w:ascii="仿宋" w:hAnsi="仿宋" w:eastAsia="仿宋" w:cs="宋体"/>
          <w:kern w:val="0"/>
          <w:sz w:val="24"/>
        </w:rPr>
        <w:t>进行</w:t>
      </w:r>
      <w:r>
        <w:rPr>
          <w:rFonts w:hint="eastAsia" w:ascii="仿宋" w:hAnsi="仿宋" w:eastAsia="仿宋" w:cs="宋体"/>
          <w:kern w:val="0"/>
          <w:sz w:val="24"/>
        </w:rPr>
        <w:t>到期</w:t>
      </w:r>
      <w:r>
        <w:rPr>
          <w:rFonts w:ascii="仿宋" w:hAnsi="仿宋" w:eastAsia="仿宋" w:cs="宋体"/>
          <w:kern w:val="0"/>
          <w:sz w:val="24"/>
        </w:rPr>
        <w:t>/终止</w:t>
      </w:r>
      <w:r>
        <w:rPr>
          <w:rFonts w:hint="eastAsia" w:ascii="仿宋" w:hAnsi="仿宋" w:eastAsia="仿宋" w:cs="宋体"/>
          <w:kern w:val="0"/>
          <w:sz w:val="24"/>
        </w:rPr>
        <w:t>后分配</w:t>
      </w:r>
      <w:r>
        <w:rPr>
          <w:rFonts w:ascii="仿宋" w:hAnsi="仿宋" w:eastAsia="仿宋" w:cs="宋体"/>
          <w:kern w:val="0"/>
          <w:sz w:val="24"/>
        </w:rPr>
        <w:t>。</w:t>
      </w:r>
    </w:p>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p>
    <w:p>
      <w:pPr>
        <w:widowControl/>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kern w:val="0"/>
          <w:sz w:val="24"/>
        </w:rPr>
        <w:t>1</w:t>
      </w:r>
      <w:r>
        <w:rPr>
          <w:rFonts w:hint="eastAsia" w:ascii="仿宋" w:hAnsi="仿宋" w:eastAsia="仿宋" w:cs="宋体"/>
          <w:kern w:val="0"/>
          <w:sz w:val="24"/>
        </w:rPr>
        <w:t>.通过华夏银行/华夏理财购买的，</w:t>
      </w:r>
      <w:r>
        <w:rPr>
          <w:rFonts w:ascii="仿宋" w:hAnsi="仿宋" w:eastAsia="仿宋" w:cs="宋体"/>
          <w:kern w:val="0"/>
          <w:sz w:val="24"/>
        </w:rPr>
        <w:t>投资者可通过</w:t>
      </w:r>
      <w:r>
        <w:rPr>
          <w:rFonts w:hint="eastAsia" w:ascii="仿宋" w:hAnsi="仿宋" w:eastAsia="仿宋"/>
          <w:sz w:val="24"/>
        </w:rPr>
        <w:t>柜台、手机银行、网上银行、微信银行</w:t>
      </w:r>
      <w:r>
        <w:rPr>
          <w:rFonts w:ascii="仿宋" w:hAnsi="仿宋" w:eastAsia="仿宋" w:cs="宋体"/>
          <w:kern w:val="0"/>
          <w:sz w:val="24"/>
        </w:rPr>
        <w:t>发起</w:t>
      </w:r>
      <w:r>
        <w:rPr>
          <w:rFonts w:hint="eastAsia" w:ascii="仿宋" w:hAnsi="仿宋" w:eastAsia="仿宋" w:cs="宋体"/>
          <w:kern w:val="0"/>
          <w:sz w:val="24"/>
        </w:rPr>
        <w:t>认购</w:t>
      </w:r>
      <w:r>
        <w:rPr>
          <w:rFonts w:ascii="仿宋" w:hAnsi="仿宋" w:eastAsia="仿宋" w:cs="宋体"/>
          <w:kern w:val="0"/>
          <w:sz w:val="24"/>
        </w:rPr>
        <w:t>申请</w:t>
      </w:r>
      <w:r>
        <w:rPr>
          <w:rFonts w:hint="eastAsia" w:ascii="仿宋" w:hAnsi="仿宋" w:eastAsia="仿宋" w:cs="宋体"/>
          <w:kern w:val="0"/>
          <w:sz w:val="24"/>
        </w:rPr>
        <w:t>；通过其他代销机构购买的，购买渠道以代销机构规定为准</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.在募集期内，如发生华夏理财</w:t>
      </w:r>
      <w:r>
        <w:rPr>
          <w:rFonts w:ascii="仿宋" w:hAnsi="仿宋" w:eastAsia="仿宋" w:cs="宋体"/>
          <w:kern w:val="0"/>
          <w:sz w:val="24"/>
        </w:rPr>
        <w:t>认为</w:t>
      </w:r>
      <w:r>
        <w:rPr>
          <w:rFonts w:hint="eastAsia" w:ascii="仿宋" w:hAnsi="仿宋" w:eastAsia="仿宋" w:cs="宋体"/>
          <w:kern w:val="0"/>
          <w:sz w:val="24"/>
        </w:rPr>
        <w:t>继续认购可能</w:t>
      </w:r>
      <w:r>
        <w:rPr>
          <w:rFonts w:ascii="仿宋" w:hAnsi="仿宋" w:eastAsia="仿宋" w:cs="宋体"/>
          <w:kern w:val="0"/>
          <w:sz w:val="24"/>
        </w:rPr>
        <w:t>影响到投资者利益</w:t>
      </w:r>
      <w:r>
        <w:rPr>
          <w:rFonts w:hint="eastAsia" w:ascii="仿宋" w:hAnsi="仿宋" w:eastAsia="仿宋" w:cs="宋体"/>
          <w:kern w:val="0"/>
          <w:sz w:val="24"/>
        </w:rPr>
        <w:t>的事件</w:t>
      </w:r>
      <w:r>
        <w:rPr>
          <w:rFonts w:ascii="仿宋" w:hAnsi="仿宋" w:eastAsia="仿宋" w:cs="宋体"/>
          <w:kern w:val="0"/>
          <w:sz w:val="24"/>
        </w:rPr>
        <w:t>时，</w:t>
      </w:r>
      <w:r>
        <w:rPr>
          <w:rFonts w:hint="eastAsia" w:ascii="仿宋" w:hAnsi="仿宋" w:eastAsia="仿宋" w:cs="宋体"/>
          <w:color w:val="000000"/>
          <w:kern w:val="0"/>
          <w:sz w:val="24"/>
        </w:rPr>
        <w:t>华夏理财有权</w:t>
      </w:r>
      <w:r>
        <w:rPr>
          <w:rFonts w:ascii="仿宋" w:hAnsi="仿宋" w:eastAsia="仿宋" w:cs="宋体"/>
          <w:kern w:val="0"/>
          <w:sz w:val="24"/>
        </w:rPr>
        <w:t>暂停</w:t>
      </w:r>
      <w:r>
        <w:rPr>
          <w:rFonts w:hint="eastAsia" w:ascii="仿宋" w:hAnsi="仿宋" w:eastAsia="仿宋" w:cs="宋体"/>
          <w:kern w:val="0"/>
          <w:sz w:val="24"/>
        </w:rPr>
        <w:t>认购</w:t>
      </w:r>
      <w:r>
        <w:rPr>
          <w:rFonts w:ascii="仿宋" w:hAnsi="仿宋" w:eastAsia="仿宋" w:cs="宋体"/>
          <w:kern w:val="0"/>
          <w:sz w:val="24"/>
        </w:rPr>
        <w:t>并于</w:t>
      </w:r>
      <w:r>
        <w:rPr>
          <w:rFonts w:hint="eastAsia" w:ascii="仿宋" w:hAnsi="仿宋" w:eastAsia="仿宋" w:cs="宋体"/>
          <w:kern w:val="0"/>
          <w:sz w:val="24"/>
        </w:rPr>
        <w:t>2个</w:t>
      </w:r>
      <w:r>
        <w:rPr>
          <w:rFonts w:ascii="仿宋" w:hAnsi="仿宋" w:eastAsia="仿宋" w:cs="宋体"/>
          <w:kern w:val="0"/>
          <w:sz w:val="24"/>
        </w:rPr>
        <w:t>工作日</w:t>
      </w:r>
      <w:r>
        <w:rPr>
          <w:rFonts w:hint="eastAsia" w:ascii="仿宋" w:hAnsi="仿宋" w:eastAsia="仿宋" w:cs="宋体"/>
          <w:kern w:val="0"/>
          <w:sz w:val="24"/>
        </w:rPr>
        <w:t>内公告</w:t>
      </w:r>
      <w:r>
        <w:rPr>
          <w:rFonts w:ascii="仿宋" w:hAnsi="仿宋" w:eastAsia="仿宋" w:cs="宋体"/>
          <w:kern w:val="0"/>
          <w:sz w:val="24"/>
        </w:rPr>
        <w:t>相应</w:t>
      </w:r>
      <w:r>
        <w:rPr>
          <w:rFonts w:hint="eastAsia" w:ascii="仿宋" w:hAnsi="仿宋" w:eastAsia="仿宋" w:cs="宋体"/>
          <w:kern w:val="0"/>
          <w:sz w:val="24"/>
        </w:rPr>
        <w:t>信息</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3</w:t>
      </w:r>
      <w:r>
        <w:rPr>
          <w:rFonts w:hint="eastAsia" w:ascii="仿宋" w:hAnsi="仿宋" w:eastAsia="仿宋" w:cs="宋体"/>
          <w:kern w:val="0"/>
          <w:sz w:val="24"/>
        </w:rPr>
        <w:t>.</w:t>
      </w:r>
      <w:r>
        <w:rPr>
          <w:rFonts w:ascii="仿宋" w:hAnsi="仿宋" w:eastAsia="仿宋" w:cs="宋体"/>
          <w:kern w:val="0"/>
          <w:sz w:val="24"/>
        </w:rPr>
        <w:t>不可抗力原因导致本理财产品无法正常运作时，</w:t>
      </w:r>
      <w:r>
        <w:rPr>
          <w:rFonts w:hint="eastAsia" w:ascii="仿宋" w:hAnsi="仿宋" w:eastAsia="仿宋" w:cs="宋体"/>
          <w:color w:val="000000"/>
          <w:kern w:val="0"/>
          <w:sz w:val="24"/>
        </w:rPr>
        <w:t>华夏理财有权</w:t>
      </w:r>
      <w:r>
        <w:rPr>
          <w:rFonts w:ascii="仿宋" w:hAnsi="仿宋" w:eastAsia="仿宋" w:cs="宋体"/>
          <w:kern w:val="0"/>
          <w:sz w:val="24"/>
        </w:rPr>
        <w:t>暂停</w:t>
      </w:r>
      <w:r>
        <w:rPr>
          <w:rFonts w:hint="eastAsia" w:ascii="仿宋" w:hAnsi="仿宋" w:eastAsia="仿宋" w:cs="宋体"/>
          <w:kern w:val="0"/>
          <w:sz w:val="24"/>
        </w:rPr>
        <w:t>认购</w:t>
      </w:r>
      <w:r>
        <w:rPr>
          <w:rFonts w:ascii="仿宋" w:hAnsi="仿宋" w:eastAsia="仿宋" w:cs="宋体"/>
          <w:kern w:val="0"/>
          <w:sz w:val="24"/>
        </w:rPr>
        <w:t>。</w:t>
      </w:r>
    </w:p>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autoSpaceDE w:val="0"/>
        <w:autoSpaceDN w:val="0"/>
        <w:adjustRightInd w:val="0"/>
        <w:snapToGrid w:val="0"/>
        <w:spacing w:line="276" w:lineRule="auto"/>
        <w:ind w:firstLine="480" w:firstLineChars="200"/>
        <w:rPr>
          <w:rFonts w:ascii="仿宋" w:hAnsi="仿宋" w:eastAsia="仿宋"/>
          <w:sz w:val="24"/>
        </w:rPr>
      </w:pPr>
      <w:r>
        <w:rPr>
          <w:rFonts w:hint="eastAsia" w:ascii="仿宋" w:hAnsi="仿宋" w:eastAsia="仿宋" w:cs="仿宋"/>
          <w:sz w:val="24"/>
        </w:rPr>
        <w:t>假设客户持有的产品份额为</w:t>
      </w:r>
      <w:r>
        <w:rPr>
          <w:rFonts w:ascii="仿宋" w:hAnsi="仿宋" w:eastAsia="仿宋" w:cs="仿宋"/>
          <w:sz w:val="24"/>
        </w:rPr>
        <w:t>100,000</w:t>
      </w:r>
      <w:r>
        <w:rPr>
          <w:rFonts w:hint="eastAsia" w:ascii="仿宋" w:hAnsi="仿宋" w:eastAsia="仿宋" w:cs="仿宋"/>
          <w:sz w:val="24"/>
        </w:rPr>
        <w:t>份：</w:t>
      </w:r>
    </w:p>
    <w:p>
      <w:pPr>
        <w:autoSpaceDE w:val="0"/>
        <w:autoSpaceDN w:val="0"/>
        <w:adjustRightInd w:val="0"/>
        <w:snapToGrid w:val="0"/>
        <w:spacing w:line="276" w:lineRule="auto"/>
        <w:ind w:firstLine="480" w:firstLineChars="200"/>
        <w:rPr>
          <w:rFonts w:ascii="仿宋" w:hAnsi="仿宋" w:eastAsia="仿宋"/>
          <w:sz w:val="24"/>
        </w:rPr>
      </w:pPr>
      <w:r>
        <w:rPr>
          <w:rFonts w:hint="eastAsia" w:ascii="仿宋" w:hAnsi="仿宋" w:eastAsia="仿宋" w:cs="仿宋"/>
          <w:sz w:val="24"/>
        </w:rPr>
        <w:t>例</w:t>
      </w:r>
      <w:r>
        <w:rPr>
          <w:rFonts w:ascii="仿宋" w:hAnsi="仿宋" w:eastAsia="仿宋" w:cs="仿宋"/>
          <w:sz w:val="24"/>
        </w:rPr>
        <w:t>1</w:t>
      </w:r>
      <w:r>
        <w:rPr>
          <w:rFonts w:hint="eastAsia" w:ascii="仿宋" w:hAnsi="仿宋" w:eastAsia="仿宋" w:cs="仿宋"/>
          <w:sz w:val="24"/>
        </w:rPr>
        <w:t>：理财产品到期后，若</w:t>
      </w:r>
      <w:r>
        <w:rPr>
          <w:rFonts w:hint="eastAsia" w:ascii="仿宋" w:hAnsi="仿宋" w:eastAsia="仿宋"/>
          <w:sz w:val="24"/>
        </w:rPr>
        <w:t>根据前述超额管理费条款，</w:t>
      </w:r>
      <w:r>
        <w:rPr>
          <w:rFonts w:hint="eastAsia" w:ascii="仿宋" w:hAnsi="仿宋" w:eastAsia="仿宋" w:cs="仿宋"/>
          <w:sz w:val="24"/>
        </w:rPr>
        <w:t>管理人收取超额管理费，扣除超额管理费后的产品到期日份额净值为</w:t>
      </w:r>
      <w:r>
        <w:rPr>
          <w:rFonts w:ascii="仿宋" w:hAnsi="仿宋" w:eastAsia="仿宋" w:cs="仿宋"/>
          <w:sz w:val="24"/>
        </w:rPr>
        <w:t>1.0450</w:t>
      </w:r>
      <w:r>
        <w:rPr>
          <w:rFonts w:hint="eastAsia" w:ascii="仿宋" w:hAnsi="仿宋" w:eastAsia="仿宋" w:cs="仿宋"/>
          <w:sz w:val="24"/>
        </w:rPr>
        <w:t>，客户到期获得的金额为：</w:t>
      </w:r>
      <w:r>
        <w:rPr>
          <w:rFonts w:ascii="仿宋" w:hAnsi="仿宋" w:eastAsia="仿宋" w:cs="仿宋"/>
          <w:sz w:val="24"/>
        </w:rPr>
        <w:t>100,000*1.0450=104,500.00</w:t>
      </w:r>
      <w:r>
        <w:rPr>
          <w:rFonts w:hint="eastAsia" w:ascii="仿宋" w:hAnsi="仿宋" w:eastAsia="仿宋" w:cs="仿宋"/>
          <w:sz w:val="24"/>
        </w:rPr>
        <w:t>元。</w:t>
      </w:r>
    </w:p>
    <w:p>
      <w:pPr>
        <w:autoSpaceDE w:val="0"/>
        <w:autoSpaceDN w:val="0"/>
        <w:adjustRightInd w:val="0"/>
        <w:snapToGrid w:val="0"/>
        <w:spacing w:line="276" w:lineRule="auto"/>
        <w:ind w:firstLine="480" w:firstLineChars="200"/>
        <w:rPr>
          <w:rFonts w:ascii="仿宋" w:hAnsi="仿宋" w:eastAsia="仿宋"/>
          <w:sz w:val="24"/>
        </w:rPr>
      </w:pPr>
      <w:r>
        <w:rPr>
          <w:rFonts w:hint="eastAsia" w:ascii="仿宋" w:hAnsi="仿宋" w:eastAsia="仿宋" w:cs="仿宋"/>
          <w:sz w:val="24"/>
        </w:rPr>
        <w:t>例</w:t>
      </w:r>
      <w:r>
        <w:rPr>
          <w:rFonts w:ascii="仿宋" w:hAnsi="仿宋" w:eastAsia="仿宋" w:cs="仿宋"/>
          <w:sz w:val="24"/>
        </w:rPr>
        <w:t>2</w:t>
      </w:r>
      <w:r>
        <w:rPr>
          <w:rFonts w:hint="eastAsia" w:ascii="仿宋" w:hAnsi="仿宋" w:eastAsia="仿宋" w:cs="仿宋"/>
          <w:sz w:val="24"/>
        </w:rPr>
        <w:t>：理财产品到期后，若</w:t>
      </w:r>
      <w:r>
        <w:rPr>
          <w:rFonts w:hint="eastAsia" w:ascii="仿宋" w:hAnsi="仿宋" w:eastAsia="仿宋"/>
          <w:sz w:val="24"/>
        </w:rPr>
        <w:t>根据前述超额管理费条款，</w:t>
      </w:r>
      <w:r>
        <w:rPr>
          <w:rFonts w:hint="eastAsia" w:ascii="仿宋" w:hAnsi="仿宋" w:eastAsia="仿宋" w:cs="仿宋"/>
          <w:sz w:val="24"/>
        </w:rPr>
        <w:t>管理人不收取超额管理费，产品到期日份额净值为</w:t>
      </w:r>
      <w:r>
        <w:rPr>
          <w:rFonts w:ascii="仿宋" w:hAnsi="仿宋" w:eastAsia="仿宋" w:cs="仿宋"/>
          <w:sz w:val="24"/>
        </w:rPr>
        <w:t>1.0250</w:t>
      </w:r>
      <w:r>
        <w:rPr>
          <w:rFonts w:hint="eastAsia" w:ascii="仿宋" w:hAnsi="仿宋" w:eastAsia="仿宋" w:cs="仿宋"/>
          <w:sz w:val="24"/>
        </w:rPr>
        <w:t>，客户到期获得的金额为：</w:t>
      </w:r>
      <w:r>
        <w:rPr>
          <w:rFonts w:ascii="仿宋" w:hAnsi="仿宋" w:eastAsia="仿宋" w:cs="仿宋"/>
          <w:sz w:val="24"/>
        </w:rPr>
        <w:t>100,000*1.0250=102,500.00</w:t>
      </w:r>
      <w:r>
        <w:rPr>
          <w:rFonts w:hint="eastAsia" w:ascii="仿宋" w:hAnsi="仿宋" w:eastAsia="仿宋" w:cs="仿宋"/>
          <w:sz w:val="24"/>
        </w:rPr>
        <w:t>元</w:t>
      </w:r>
    </w:p>
    <w:p>
      <w:pPr>
        <w:widowControl/>
        <w:adjustRightInd w:val="0"/>
        <w:snapToGrid w:val="0"/>
        <w:spacing w:line="276" w:lineRule="auto"/>
        <w:ind w:firstLine="480" w:firstLineChars="200"/>
        <w:contextualSpacing/>
        <w:rPr>
          <w:rFonts w:hint="eastAsia" w:ascii="仿宋" w:hAnsi="仿宋" w:eastAsia="仿宋"/>
          <w:sz w:val="24"/>
        </w:rPr>
      </w:pPr>
      <w:r>
        <w:rPr>
          <w:rFonts w:hint="eastAsia" w:ascii="仿宋" w:hAnsi="仿宋" w:eastAsia="仿宋" w:cs="仿宋"/>
          <w:sz w:val="24"/>
        </w:rPr>
        <w:t>例</w:t>
      </w:r>
      <w:r>
        <w:rPr>
          <w:rFonts w:ascii="仿宋" w:hAnsi="仿宋" w:eastAsia="仿宋" w:cs="仿宋"/>
          <w:sz w:val="24"/>
        </w:rPr>
        <w:t>3</w:t>
      </w:r>
      <w:r>
        <w:rPr>
          <w:rFonts w:hint="eastAsia" w:ascii="仿宋" w:hAnsi="仿宋" w:eastAsia="仿宋" w:cs="仿宋"/>
          <w:sz w:val="24"/>
        </w:rPr>
        <w:t>：理财产品到期后，若</w:t>
      </w:r>
      <w:r>
        <w:rPr>
          <w:rFonts w:hint="eastAsia" w:ascii="仿宋" w:hAnsi="仿宋" w:eastAsia="仿宋"/>
          <w:sz w:val="24"/>
        </w:rPr>
        <w:t>根据前述超额管理费条款，</w:t>
      </w:r>
      <w:r>
        <w:rPr>
          <w:rFonts w:hint="eastAsia" w:ascii="仿宋" w:hAnsi="仿宋" w:eastAsia="仿宋" w:cs="仿宋"/>
          <w:sz w:val="24"/>
        </w:rPr>
        <w:t>管理人不收取超额管理费，产品到期日份额净值为</w:t>
      </w:r>
      <w:r>
        <w:rPr>
          <w:rFonts w:ascii="仿宋" w:hAnsi="仿宋" w:eastAsia="仿宋" w:cs="仿宋"/>
          <w:sz w:val="24"/>
        </w:rPr>
        <w:t>0.9980</w:t>
      </w:r>
      <w:r>
        <w:rPr>
          <w:rFonts w:hint="eastAsia" w:ascii="仿宋" w:hAnsi="仿宋" w:eastAsia="仿宋" w:cs="仿宋"/>
          <w:sz w:val="24"/>
        </w:rPr>
        <w:t>，客户到期获得的金额为：</w:t>
      </w:r>
      <w:r>
        <w:rPr>
          <w:rFonts w:ascii="仿宋" w:hAnsi="仿宋" w:eastAsia="仿宋" w:cs="仿宋"/>
          <w:sz w:val="24"/>
        </w:rPr>
        <w:t>100,000*0.9980=99,800.00</w:t>
      </w:r>
      <w:r>
        <w:rPr>
          <w:rFonts w:hint="eastAsia" w:ascii="仿宋" w:hAnsi="仿宋" w:eastAsia="仿宋" w:cs="仿宋"/>
          <w:sz w:val="24"/>
        </w:rPr>
        <w:t>元。</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华夏理财郑重提示：本理财产品是非保本浮动收益净值型理财产品，不保证理财本金和收益。投资者的本金和收益可能会因市场变动而蒙受损失。投资者应充分认识投资风险，谨慎投资。</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最不利的投资情形：如果本理财产品投资组合内所配置资产发生损失，则理财产品到期/终止时投资者可能无法获得理财产品投资收益，甚至损失全部理财本金，投资者应在对此风险有充分认识基础上谨慎投资。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本产品说明书中的任何业绩基准、</w:t>
      </w:r>
      <w:r>
        <w:rPr>
          <w:rFonts w:eastAsia="黑体"/>
          <w:b/>
          <w:sz w:val="24"/>
        </w:rPr>
        <w:t>收益</w:t>
      </w:r>
      <w:r>
        <w:rPr>
          <w:rFonts w:hint="eastAsia" w:eastAsia="黑体"/>
          <w:b/>
          <w:sz w:val="24"/>
        </w:rPr>
        <w:t>示例或类似表述均不具有法律约束力，不代表投资者可能获得的实际收益，亦不构成华夏理财/代销机构对本理财产品的任何收益承诺，仅供投资者期初作为投资决定的参考。</w:t>
      </w:r>
    </w:p>
    <w:p>
      <w:pPr>
        <w:pStyle w:val="1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pStyle w:val="11"/>
        <w:snapToGrid w:val="0"/>
        <w:spacing w:line="276" w:lineRule="auto"/>
        <w:ind w:firstLine="480" w:firstLineChars="200"/>
        <w:contextualSpacing/>
        <w:rPr>
          <w:rFonts w:hint="eastAsia" w:ascii="仿宋" w:hAnsi="仿宋" w:eastAsia="仿宋"/>
          <w:color w:val="auto"/>
        </w:rPr>
      </w:pPr>
      <w:r>
        <w:rPr>
          <w:rFonts w:hint="eastAsia" w:ascii="仿宋" w:hAnsi="仿宋" w:eastAsia="仿宋"/>
          <w:color w:val="auto"/>
        </w:rPr>
        <w:t>（一）估值对象</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本理财产品所投资的银行存款、货币市场工具、债券等标准化债权类资产、非标准化债权类资产、权益类资产以及资产管理产品等资产。</w:t>
      </w:r>
    </w:p>
    <w:p>
      <w:pPr>
        <w:pStyle w:val="11"/>
        <w:snapToGrid w:val="0"/>
        <w:spacing w:line="276" w:lineRule="auto"/>
        <w:ind w:firstLine="480" w:firstLineChars="200"/>
        <w:contextualSpacing/>
        <w:rPr>
          <w:rFonts w:ascii="仿宋" w:hAnsi="仿宋" w:eastAsia="仿宋"/>
          <w:color w:val="auto"/>
        </w:rPr>
      </w:pPr>
      <w:r>
        <w:rPr>
          <w:rFonts w:hint="eastAsia" w:ascii="仿宋" w:hAnsi="仿宋" w:eastAsia="仿宋"/>
          <w:color w:val="auto"/>
        </w:rPr>
        <w:t>（二）估值方法</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1.证券交易所上市的有价证券</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autoSpaceDE w:val="0"/>
        <w:autoSpaceDN w:val="0"/>
        <w:adjustRightInd w:val="0"/>
        <w:snapToGrid w:val="0"/>
        <w:spacing w:line="276" w:lineRule="auto"/>
        <w:ind w:firstLine="480" w:firstLineChars="200"/>
        <w:rPr>
          <w:rFonts w:hint="eastAsia" w:ascii="仿宋" w:hAnsi="仿宋" w:eastAsia="仿宋" w:cs="仿宋"/>
          <w:sz w:val="24"/>
        </w:rPr>
      </w:pPr>
      <w:bookmarkStart w:id="5" w:name="_Hlk37175328"/>
      <w:r>
        <w:rPr>
          <w:rFonts w:hint="eastAsia" w:ascii="仿宋" w:hAnsi="仿宋" w:eastAsia="仿宋" w:cs="仿宋"/>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在交易所市场上市的含有转股权的债券（如可转换债券、可交换债券等）等，选取每日收盘价减去所含的应收利息得到的净价进行估值。</w:t>
      </w:r>
    </w:p>
    <w:bookmarkEnd w:id="5"/>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2.处于未上市期间的有价证券应区分如下情况处理：</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（1）送股、转增股、配股和公开增发的新股，按估值日在证券交易所挂牌的同一股票的市价（收盘价）估值；该日无交易的，以最近一日的市价（收盘价）估值；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（3）优先股采用估值技术确认公允价值，在估值技术难以可靠计量公允价值的情况下，采用管理人和托管人共同认可的第三方机构提供的估值，或双方共同认可的估值；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4.同一债券同时在两个或两个以上市场交易的，按债券所处的市场分别估值。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5.证券投资基金的估值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（1）场外申赎的开放式基金（包括上市开放式基金LOF）以估值日前一交易日基金净值估值，估值日前一交易日开放式基金份额净值未公布的，以此前最近一个交易日基金份额净值计算；</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（2）上市流通的证券投资基金（包括场内买入的ETF、封闭式基金、上市定期开放式基金）按估值日其所在证券交易所的收盘价估值；估值日无交易的，以最近一个交易日的收盘价估值；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（3）货币基金按前一估值日后至估值日期间（含节假日）发布的万份收益计提估值日收益。</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6.银行存款（活期、定期）及证券资金账户存款以本金列示，按照约定利率在持有期内逐日计提应收利息，在利息到账日以实收利息入账。</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7.债券回购和具有固定回报的买入返售金融资产：以买入/外放成本列示，按约定收益率逐日计提收益。</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8.期货以估值日期货交易所的当日结算价估值，估值当日无结算价的，且最近交易日后经济环境未发生重大变化的，采用最近交易日结算价估值。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9.汇率估值方法</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10.场内期权以估值日交易所的结算价估值，该日无交易的，以最近一日的结算价为准。</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11.非标准化债权类资产采用估值技术确认公允价值或在相关法律法规以及监管部门允许的情况下采用摊余成本法估值。在估值技术难以可靠计量公允价值的情况下，采用管理人和托管人共同认可的估值。</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12.本系列产品所投资的资产管理产品以估值日公布的产品单位净值进行估值，估值日产品单位净值未公布的，以最近一个工作日产品单位净值计算。</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13.相关法律法规以及监管部门有强制规定的，从其规定。如有新增事项或变更事项，依法按最新规定计算。没有相关规定的，由产品管理人与托管人协商确定计算方法。</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autoSpaceDE w:val="0"/>
        <w:autoSpaceDN w:val="0"/>
        <w:adjustRightInd w:val="0"/>
        <w:snapToGrid w:val="0"/>
        <w:spacing w:line="276" w:lineRule="auto"/>
        <w:ind w:firstLine="482" w:firstLineChars="200"/>
        <w:rPr>
          <w:rFonts w:hint="eastAsia" w:ascii="仿宋" w:hAnsi="仿宋" w:eastAsia="仿宋" w:cs="仿宋"/>
          <w:b/>
          <w:bCs/>
          <w:sz w:val="24"/>
        </w:rPr>
      </w:pPr>
      <w:r>
        <w:rPr>
          <w:rFonts w:hint="eastAsia" w:ascii="仿宋" w:hAnsi="仿宋" w:eastAsia="仿宋" w:cs="仿宋"/>
          <w:b/>
          <w:bCs/>
          <w:sz w:val="24"/>
        </w:rPr>
        <w:t>以上“理财产品估值”章节所列的投资品种不代表本产品的实际投资范围，本产品实际可投资范围以产品说明书“投资对象”章节列示为准。</w:t>
      </w:r>
    </w:p>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11"/>
        <w:snapToGrid w:val="0"/>
        <w:spacing w:line="276" w:lineRule="auto"/>
        <w:ind w:firstLine="480" w:firstLineChars="200"/>
        <w:contextualSpacing/>
        <w:jc w:val="both"/>
        <w:rPr>
          <w:rFonts w:hint="eastAsia" w:ascii="Times New Roman" w:eastAsia="黑体" w:cs="Times New Roman"/>
          <w:color w:val="auto"/>
        </w:rPr>
      </w:pPr>
      <w:r>
        <w:rPr>
          <w:rFonts w:ascii="仿宋" w:hAnsi="仿宋" w:eastAsia="仿宋"/>
          <w:color w:val="auto"/>
        </w:rPr>
        <w:t>本理财产品</w:t>
      </w:r>
      <w:r>
        <w:rPr>
          <w:rFonts w:hint="eastAsia" w:ascii="仿宋" w:hAnsi="仿宋" w:eastAsia="仿宋"/>
          <w:color w:val="auto"/>
        </w:rPr>
        <w:t>为非保本浮动收益的净值型</w:t>
      </w:r>
      <w:r>
        <w:rPr>
          <w:rFonts w:ascii="仿宋" w:hAnsi="仿宋" w:eastAsia="仿宋"/>
          <w:color w:val="auto"/>
        </w:rPr>
        <w:t>理财产品，根据法律法规及监管要求的有关规定，特向</w:t>
      </w:r>
      <w:r>
        <w:rPr>
          <w:rFonts w:hint="eastAsia" w:ascii="仿宋" w:hAnsi="仿宋" w:eastAsia="仿宋"/>
          <w:color w:val="auto"/>
        </w:rPr>
        <w:t>投资者</w:t>
      </w:r>
      <w:r>
        <w:rPr>
          <w:rFonts w:ascii="仿宋" w:hAnsi="仿宋" w:eastAsia="仿宋"/>
          <w:color w:val="auto"/>
        </w:rPr>
        <w:t>提示如下：与银行存款比较，本理财产品存在投资风险，</w:t>
      </w:r>
      <w:r>
        <w:rPr>
          <w:rFonts w:hint="eastAsia" w:ascii="仿宋" w:hAnsi="仿宋" w:eastAsia="仿宋"/>
          <w:color w:val="auto"/>
        </w:rPr>
        <w:t>投资者</w:t>
      </w:r>
      <w:r>
        <w:rPr>
          <w:rFonts w:ascii="仿宋" w:hAnsi="仿宋" w:eastAsia="仿宋"/>
          <w:color w:val="auto"/>
        </w:rPr>
        <w:t>的本金和收益可能会因市场变动等原因而蒙受损失，</w:t>
      </w:r>
      <w:r>
        <w:rPr>
          <w:rFonts w:hint="eastAsia" w:ascii="仿宋" w:hAnsi="仿宋" w:eastAsia="仿宋"/>
          <w:color w:val="auto"/>
        </w:rPr>
        <w:t>投资者</w:t>
      </w:r>
      <w:r>
        <w:rPr>
          <w:rFonts w:ascii="仿宋" w:hAnsi="仿宋" w:eastAsia="仿宋"/>
          <w:color w:val="auto"/>
        </w:rPr>
        <w:t>应充分认识投资风险，谨慎投资。本理财产品可能面临的风险主要包括：</w:t>
      </w:r>
    </w:p>
    <w:p>
      <w:pPr>
        <w:pStyle w:val="11"/>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一）本金及理财收益风险：本理财产品不保证本金及理财收益，理财产品收益来源于本理财产品项下投资组合的回报，容易受到企业信用状况变化、市场利率变化、汇率变化、投资组合运作情况以及投资管理方投资能力等</w:t>
      </w:r>
      <w:r>
        <w:rPr>
          <w:rFonts w:ascii="Times New Roman" w:eastAsia="黑体" w:cs="Times New Roman"/>
          <w:b/>
          <w:color w:val="auto"/>
        </w:rPr>
        <w:t>因素</w:t>
      </w:r>
      <w:r>
        <w:rPr>
          <w:rFonts w:hint="eastAsia" w:ascii="Times New Roman" w:eastAsia="黑体" w:cs="Times New Roman"/>
          <w:b/>
          <w:color w:val="auto"/>
        </w:rPr>
        <w:t>的影响，在最不利的情况下，本理财产品理财收益率可能为零，并有可能损失本金，由此产生的风险由投资者自行承担。</w:t>
      </w:r>
    </w:p>
    <w:p>
      <w:pPr>
        <w:pStyle w:val="11"/>
        <w:snapToGrid w:val="0"/>
        <w:spacing w:line="276" w:lineRule="auto"/>
        <w:ind w:firstLine="482" w:firstLineChars="200"/>
        <w:contextualSpacing/>
        <w:jc w:val="both"/>
        <w:rPr>
          <w:rFonts w:hint="eastAsia" w:ascii="Times New Roman" w:eastAsia="黑体" w:cs="Times New Roman"/>
          <w:b/>
          <w:color w:val="auto"/>
        </w:rPr>
      </w:pPr>
      <w:r>
        <w:rPr>
          <w:rFonts w:hint="eastAsia" w:ascii="Times New Roman" w:eastAsia="黑体" w:cs="Times New Roman"/>
          <w:b/>
          <w:color w:val="auto"/>
        </w:rPr>
        <w:t>（二）信用风险：如理财产品</w:t>
      </w:r>
      <w:bookmarkStart w:id="6" w:name="_Hlk76300274"/>
      <w:r>
        <w:rPr>
          <w:rFonts w:hint="eastAsia" w:ascii="Times New Roman" w:eastAsia="黑体" w:cs="Times New Roman"/>
          <w:b/>
          <w:color w:val="auto"/>
        </w:rPr>
        <w:t>所投资的资产</w:t>
      </w:r>
      <w:bookmarkEnd w:id="6"/>
      <w:r>
        <w:rPr>
          <w:rFonts w:hint="eastAsia" w:ascii="Times New Roman" w:eastAsia="黑体" w:cs="Times New Roman"/>
          <w:b/>
          <w:color w:val="auto"/>
        </w:rPr>
        <w:t>发行人、资产管理计划管理人、信托受托人、债务人、担保人（如有）等相关主体发生违约，可能导致无法按时支付本金及理财收益，进而导致本理财产品收益为零甚至本金遭受损失。</w:t>
      </w:r>
    </w:p>
    <w:p>
      <w:pPr>
        <w:pStyle w:val="11"/>
        <w:snapToGrid w:val="0"/>
        <w:spacing w:line="276" w:lineRule="auto"/>
        <w:ind w:firstLine="482" w:firstLineChars="200"/>
        <w:contextualSpacing/>
        <w:jc w:val="both"/>
        <w:rPr>
          <w:rFonts w:ascii="Times New Roman" w:eastAsia="黑体" w:cs="Times New Roman"/>
          <w:b/>
          <w:color w:val="auto"/>
        </w:rPr>
      </w:pPr>
      <w:r>
        <w:rPr>
          <w:rFonts w:ascii="Times New Roman" w:eastAsia="黑体" w:cs="Times New Roman"/>
          <w:b/>
          <w:color w:val="auto"/>
        </w:rPr>
        <w:t>（三）市场风险：本理财产品为非保本浮动收益净值型理财产品，不排除因</w:t>
      </w:r>
      <w:r>
        <w:rPr>
          <w:rFonts w:hint="eastAsia" w:ascii="Times New Roman" w:eastAsia="黑体" w:cs="Times New Roman"/>
          <w:b/>
          <w:color w:val="auto"/>
        </w:rPr>
        <w:t>资产</w:t>
      </w:r>
      <w:r>
        <w:rPr>
          <w:rFonts w:ascii="Times New Roman" w:eastAsia="黑体" w:cs="Times New Roman"/>
          <w:b/>
          <w:color w:val="auto"/>
        </w:rPr>
        <w:t>价格、利率、信用</w:t>
      </w:r>
      <w:r>
        <w:rPr>
          <w:rFonts w:hint="eastAsia" w:ascii="Times New Roman" w:eastAsia="黑体" w:cs="Times New Roman"/>
          <w:b/>
          <w:color w:val="auto"/>
        </w:rPr>
        <w:t>、汇率</w:t>
      </w:r>
      <w:r>
        <w:rPr>
          <w:rFonts w:ascii="Times New Roman" w:eastAsia="黑体" w:cs="Times New Roman"/>
          <w:b/>
          <w:color w:val="auto"/>
        </w:rPr>
        <w:t>以及国家政策等的变动导致本理财产品净值遭受损失的可能。</w:t>
      </w:r>
    </w:p>
    <w:p>
      <w:pPr>
        <w:pStyle w:val="11"/>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（四）流动性风险：</w:t>
      </w:r>
      <w:r>
        <w:rPr>
          <w:rFonts w:ascii="Times New Roman" w:eastAsia="黑体" w:cs="Times New Roman"/>
          <w:b/>
          <w:color w:val="auto"/>
        </w:rPr>
        <w:t>本理财产品为</w:t>
      </w:r>
      <w:r>
        <w:rPr>
          <w:rFonts w:hint="eastAsia" w:ascii="Times New Roman" w:eastAsia="黑体" w:cs="Times New Roman"/>
          <w:b/>
          <w:color w:val="auto"/>
        </w:rPr>
        <w:t>封闭</w:t>
      </w:r>
      <w:r>
        <w:rPr>
          <w:rFonts w:ascii="Times New Roman" w:eastAsia="黑体" w:cs="Times New Roman"/>
          <w:b/>
          <w:color w:val="auto"/>
        </w:rPr>
        <w:t>式净值型理财产品，</w:t>
      </w:r>
      <w:r>
        <w:rPr>
          <w:rFonts w:hint="eastAsia" w:ascii="Times New Roman" w:eastAsia="黑体" w:cs="Times New Roman"/>
          <w:b/>
          <w:color w:val="auto"/>
        </w:rPr>
        <w:t>除非出现本产品说明书规定的情况，</w:t>
      </w:r>
      <w:r>
        <w:rPr>
          <w:rFonts w:ascii="Times New Roman" w:eastAsia="黑体" w:cs="Times New Roman"/>
          <w:b/>
          <w:color w:val="auto"/>
        </w:rPr>
        <w:t>投资者无权随时</w:t>
      </w:r>
      <w:r>
        <w:rPr>
          <w:rFonts w:eastAsia="黑体"/>
          <w:b/>
        </w:rPr>
        <w:t>提前赎回</w:t>
      </w:r>
      <w:r>
        <w:rPr>
          <w:rFonts w:hint="eastAsia" w:eastAsia="黑体"/>
          <w:b/>
        </w:rPr>
        <w:t>或</w:t>
      </w:r>
      <w:r>
        <w:rPr>
          <w:rFonts w:ascii="Times New Roman" w:eastAsia="黑体" w:cs="Times New Roman"/>
          <w:b/>
          <w:color w:val="auto"/>
        </w:rPr>
        <w:t>终止</w:t>
      </w:r>
      <w:r>
        <w:rPr>
          <w:rFonts w:hint="eastAsia" w:ascii="Times New Roman" w:eastAsia="黑体" w:cs="Times New Roman"/>
          <w:b/>
          <w:color w:val="auto"/>
        </w:rPr>
        <w:t>本</w:t>
      </w:r>
      <w:r>
        <w:rPr>
          <w:rFonts w:ascii="Times New Roman" w:eastAsia="黑体" w:cs="Times New Roman"/>
          <w:b/>
          <w:color w:val="auto"/>
        </w:rPr>
        <w:t>理财产品，</w:t>
      </w:r>
      <w:r>
        <w:rPr>
          <w:rFonts w:hint="eastAsia" w:ascii="Times New Roman" w:eastAsia="黑体" w:cs="Times New Roman"/>
          <w:b/>
          <w:color w:val="auto"/>
        </w:rPr>
        <w:t>可能导致投资者需要资金时不能随时变现，并可能丧失其他投资机会。</w:t>
      </w:r>
    </w:p>
    <w:p>
      <w:pPr>
        <w:pStyle w:val="11"/>
        <w:snapToGrid w:val="0"/>
        <w:spacing w:line="276" w:lineRule="auto"/>
        <w:ind w:firstLine="482" w:firstLineChars="200"/>
        <w:contextualSpacing/>
        <w:jc w:val="both"/>
        <w:rPr>
          <w:rFonts w:hint="eastAsia" w:ascii="Times New Roman" w:eastAsia="黑体" w:cs="Times New Roman"/>
          <w:b/>
          <w:color w:val="auto"/>
        </w:rPr>
      </w:pPr>
      <w:r>
        <w:rPr>
          <w:rFonts w:hint="eastAsia" w:ascii="Times New Roman" w:eastAsia="黑体" w:cs="Times New Roman"/>
          <w:b/>
          <w:color w:val="auto"/>
        </w:rPr>
        <w:t>（五）投资风险：本理财产品的实际收益率取决于所投资金融工具的收益率，投资者应对此有充分的认识。除本产品说明书中明确规定的收益或收益分配方式外，任何业绩基准、</w:t>
      </w:r>
      <w:r>
        <w:rPr>
          <w:rFonts w:ascii="Times New Roman" w:eastAsia="黑体" w:cs="Times New Roman"/>
          <w:b/>
          <w:color w:val="auto"/>
        </w:rPr>
        <w:t>收益</w:t>
      </w:r>
      <w:r>
        <w:rPr>
          <w:rFonts w:hint="eastAsia" w:ascii="Times New Roman" w:eastAsia="黑体" w:cs="Times New Roman"/>
          <w:b/>
          <w:color w:val="auto"/>
        </w:rPr>
        <w:t>示例或类似表述均不具有法律约束力，不代表投资者可能获得的实际收益，亦不构成华夏理财/代销机构对本理财产品的任何收益承诺，仅供投资者期初作为投资决定的参考。</w:t>
      </w:r>
    </w:p>
    <w:p>
      <w:pPr>
        <w:pStyle w:val="11"/>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损失外，汇率变化会带来额外的损失或收益，从而对投资者收益产生影响；反之亦然。</w:t>
      </w:r>
    </w:p>
    <w:p>
      <w:pPr>
        <w:pStyle w:val="11"/>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（七）法律及政策风险：本理财产品是针对当前的相关法规和政策设计的。如国家宏观政策以及市场相关法规政策发生变化，影响理财产品的受理、投资、偿还等的正常进行，</w:t>
      </w:r>
      <w:r>
        <w:rPr>
          <w:rFonts w:ascii="Times New Roman" w:eastAsia="黑体" w:cs="Times New Roman"/>
          <w:b/>
          <w:color w:val="auto"/>
        </w:rPr>
        <w:t>可能影响本理财产品的投资运作和收益，甚至</w:t>
      </w:r>
      <w:r>
        <w:rPr>
          <w:rFonts w:hint="eastAsia" w:ascii="Times New Roman" w:eastAsia="黑体" w:cs="Times New Roman"/>
          <w:b/>
          <w:color w:val="auto"/>
        </w:rPr>
        <w:t>造成</w:t>
      </w:r>
      <w:r>
        <w:rPr>
          <w:rFonts w:ascii="Times New Roman" w:eastAsia="黑体" w:cs="Times New Roman"/>
          <w:b/>
          <w:color w:val="auto"/>
        </w:rPr>
        <w:t>本金损失。</w:t>
      </w:r>
    </w:p>
    <w:p>
      <w:pPr>
        <w:pStyle w:val="11"/>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理财产品不成立风险：</w:t>
      </w:r>
      <w:r>
        <w:rPr>
          <w:rFonts w:hint="eastAsia" w:ascii="Times New Roman" w:eastAsia="黑体" w:cs="Times New Roman"/>
          <w:b/>
          <w:color w:val="auto"/>
        </w:rPr>
        <w:t>募集期</w:t>
      </w:r>
      <w:r>
        <w:rPr>
          <w:rFonts w:ascii="Times New Roman" w:eastAsia="黑体" w:cs="Times New Roman"/>
          <w:b/>
          <w:color w:val="auto"/>
        </w:rPr>
        <w:t>结束，如理财产品</w:t>
      </w:r>
      <w:r>
        <w:rPr>
          <w:rFonts w:hint="eastAsia" w:ascii="Times New Roman" w:eastAsia="黑体" w:cs="Times New Roman"/>
          <w:b/>
          <w:color w:val="auto"/>
        </w:rPr>
        <w:t>募集</w:t>
      </w:r>
      <w:r>
        <w:rPr>
          <w:rFonts w:ascii="Times New Roman" w:eastAsia="黑体" w:cs="Times New Roman"/>
          <w:b/>
          <w:color w:val="auto"/>
        </w:rPr>
        <w:t>总金额未达到发行</w:t>
      </w:r>
      <w:r>
        <w:rPr>
          <w:rFonts w:hint="eastAsia" w:ascii="Times New Roman" w:eastAsia="黑体" w:cs="Times New Roman"/>
          <w:b/>
          <w:color w:val="auto"/>
        </w:rPr>
        <w:t>规模</w:t>
      </w:r>
      <w:r>
        <w:rPr>
          <w:rFonts w:ascii="Times New Roman" w:eastAsia="黑体" w:cs="Times New Roman"/>
          <w:b/>
          <w:color w:val="auto"/>
        </w:rPr>
        <w:t>下限</w:t>
      </w:r>
      <w:r>
        <w:rPr>
          <w:rFonts w:hint="eastAsia" w:ascii="Times New Roman" w:eastAsia="黑体" w:cs="Times New Roman"/>
          <w:b/>
          <w:color w:val="auto"/>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color w:val="auto"/>
        </w:rPr>
        <w:t>华夏</w:t>
      </w:r>
      <w:r>
        <w:rPr>
          <w:rFonts w:hint="eastAsia" w:ascii="Times New Roman" w:eastAsia="黑体" w:cs="Times New Roman"/>
          <w:b/>
          <w:color w:val="auto"/>
        </w:rPr>
        <w:t>理财</w:t>
      </w:r>
      <w:r>
        <w:rPr>
          <w:rFonts w:ascii="Times New Roman" w:eastAsia="黑体" w:cs="Times New Roman"/>
          <w:b/>
          <w:color w:val="auto"/>
        </w:rPr>
        <w:t>有权宣布本理财产品不成立。</w:t>
      </w:r>
    </w:p>
    <w:p>
      <w:pPr>
        <w:pStyle w:val="11"/>
        <w:snapToGrid w:val="0"/>
        <w:spacing w:line="276" w:lineRule="auto"/>
        <w:ind w:firstLine="482" w:firstLineChars="200"/>
        <w:contextualSpacing/>
        <w:jc w:val="both"/>
        <w:rPr>
          <w:rFonts w:ascii="Times New Roman" w:eastAsia="黑体" w:cs="Times New Roman"/>
          <w:b/>
          <w:color w:val="auto"/>
        </w:rPr>
      </w:pPr>
      <w:r>
        <w:rPr>
          <w:rFonts w:ascii="Times New Roman" w:eastAsia="黑体" w:cs="Times New Roman"/>
          <w:b/>
          <w:color w:val="auto"/>
        </w:rPr>
        <w:t>（</w:t>
      </w:r>
      <w:r>
        <w:rPr>
          <w:rFonts w:hint="eastAsia" w:ascii="Times New Roman" w:eastAsia="黑体" w:cs="Times New Roman"/>
          <w:b/>
          <w:color w:val="auto"/>
        </w:rPr>
        <w:t>九</w:t>
      </w:r>
      <w:r>
        <w:rPr>
          <w:rFonts w:ascii="Times New Roman" w:eastAsia="黑体" w:cs="Times New Roman"/>
          <w:b/>
          <w:color w:val="auto"/>
        </w:rPr>
        <w:t>）</w:t>
      </w:r>
      <w:r>
        <w:rPr>
          <w:rFonts w:hint="eastAsia" w:ascii="Times New Roman" w:eastAsia="黑体" w:cs="Times New Roman"/>
          <w:b/>
          <w:color w:val="auto"/>
        </w:rPr>
        <w:t>提前终止风险：如遇前述提前</w:t>
      </w:r>
      <w:r>
        <w:rPr>
          <w:rFonts w:ascii="Times New Roman" w:eastAsia="黑体" w:cs="Times New Roman"/>
          <w:b/>
          <w:color w:val="auto"/>
        </w:rPr>
        <w:t>终止权</w:t>
      </w:r>
      <w:r>
        <w:rPr>
          <w:rFonts w:hint="eastAsia" w:ascii="Times New Roman" w:eastAsia="黑体" w:cs="Times New Roman"/>
          <w:b/>
          <w:color w:val="auto"/>
        </w:rPr>
        <w:t>条款中涉及</w:t>
      </w:r>
      <w:r>
        <w:rPr>
          <w:rFonts w:ascii="Times New Roman" w:eastAsia="黑体" w:cs="Times New Roman"/>
          <w:b/>
          <w:color w:val="auto"/>
        </w:rPr>
        <w:t>的</w:t>
      </w:r>
      <w:r>
        <w:rPr>
          <w:rFonts w:hint="eastAsia" w:ascii="Times New Roman" w:eastAsia="黑体" w:cs="Times New Roman"/>
          <w:b/>
          <w:color w:val="auto"/>
        </w:rPr>
        <w:t>情形，华夏理财有权提前终止本理财产品，投资者可能无法实现期初预计的收益、收益为零甚至损失理财本金。</w:t>
      </w:r>
    </w:p>
    <w:p>
      <w:pPr>
        <w:widowControl/>
        <w:adjustRightInd w:val="0"/>
        <w:snapToGrid w:val="0"/>
        <w:spacing w:line="276" w:lineRule="auto"/>
        <w:ind w:firstLine="482" w:firstLineChars="200"/>
        <w:contextualSpacing/>
        <w:rPr>
          <w:rFonts w:eastAsia="黑体"/>
          <w:b/>
          <w:kern w:val="0"/>
          <w:sz w:val="24"/>
        </w:rPr>
      </w:pPr>
      <w:r>
        <w:rPr>
          <w:rFonts w:hint="eastAsia" w:eastAsia="黑体"/>
          <w:b/>
          <w:kern w:val="0"/>
          <w:sz w:val="24"/>
        </w:rPr>
        <w:t>（十）延期风险：</w:t>
      </w:r>
      <w:r>
        <w:rPr>
          <w:rFonts w:eastAsia="黑体"/>
          <w:b/>
          <w:kern w:val="0"/>
          <w:sz w:val="24"/>
        </w:rPr>
        <w:t>如因与理财产品投资资产相关的</w:t>
      </w:r>
      <w:r>
        <w:rPr>
          <w:rFonts w:hint="eastAsia" w:eastAsia="黑体"/>
          <w:b/>
          <w:kern w:val="0"/>
          <w:sz w:val="24"/>
        </w:rPr>
        <w:t>资产管理计划管理人、</w:t>
      </w:r>
      <w:r>
        <w:rPr>
          <w:rFonts w:eastAsia="黑体"/>
          <w:b/>
          <w:kern w:val="0"/>
          <w:sz w:val="24"/>
        </w:rPr>
        <w:t>信托受托人、债务人、担保人（如有）等主体发生违约，导致本理财产品不能按时偿</w:t>
      </w:r>
      <w:r>
        <w:rPr>
          <w:rFonts w:hint="eastAsia" w:eastAsia="黑体"/>
          <w:b/>
          <w:kern w:val="0"/>
          <w:sz w:val="24"/>
        </w:rPr>
        <w:t>付</w:t>
      </w:r>
      <w:r>
        <w:rPr>
          <w:rFonts w:eastAsia="黑体"/>
          <w:b/>
          <w:kern w:val="0"/>
          <w:sz w:val="24"/>
        </w:rPr>
        <w:t>本金及理财收益</w:t>
      </w:r>
      <w:r>
        <w:rPr>
          <w:rFonts w:hint="eastAsia" w:eastAsia="黑体"/>
          <w:b/>
          <w:kern w:val="0"/>
          <w:sz w:val="24"/>
        </w:rPr>
        <w:t>；或因市场成交量不足、资产限制赎回、暂停交易、缺乏意愿交易对手等原因，管理人未能及时完成资产变现，则本</w:t>
      </w:r>
      <w:r>
        <w:rPr>
          <w:rFonts w:eastAsia="黑体"/>
          <w:b/>
          <w:kern w:val="0"/>
          <w:sz w:val="24"/>
        </w:rPr>
        <w:t>理财</w:t>
      </w:r>
      <w:r>
        <w:rPr>
          <w:rFonts w:hint="eastAsia" w:eastAsia="黑体"/>
          <w:b/>
          <w:kern w:val="0"/>
          <w:sz w:val="24"/>
        </w:rPr>
        <w:t>产品</w:t>
      </w:r>
      <w:r>
        <w:rPr>
          <w:rFonts w:eastAsia="黑体"/>
          <w:b/>
          <w:kern w:val="0"/>
          <w:sz w:val="24"/>
        </w:rPr>
        <w:t>期限将相应延长。</w:t>
      </w:r>
    </w:p>
    <w:p>
      <w:pPr>
        <w:pStyle w:val="11"/>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color w:val="auto"/>
        </w:rPr>
        <w:t>（十一）信息传递风险：华夏理财按照本产品说明书有关信息披露的约定，发布理财产品的信息。投资者应根据信息披露的约定及时查询。如果投资者未及时查询而未能及时了解理财产品信息，并由此影响投资者的投资决策，因此产生的责任和风险由投资者自行承担。另外，投资者预留在</w:t>
      </w:r>
      <w:bookmarkStart w:id="7" w:name="_Hlk76301212"/>
      <w:r>
        <w:rPr>
          <w:rFonts w:hint="eastAsia" w:ascii="Times New Roman" w:eastAsia="黑体" w:cs="Times New Roman"/>
          <w:b/>
          <w:color w:val="auto"/>
        </w:rPr>
        <w:t>华夏理财/代销机构</w:t>
      </w:r>
      <w:bookmarkEnd w:id="7"/>
      <w:r>
        <w:rPr>
          <w:rFonts w:hint="eastAsia" w:ascii="Times New Roman" w:eastAsia="黑体" w:cs="Times New Roman"/>
          <w:b/>
          <w:color w:val="auto"/>
        </w:rPr>
        <w:t>的有效联系方式变更的，应及时通知华夏理财/代销机构。因投资者未及时告知导致的信息传递风险由投资者自行承担。</w:t>
      </w:r>
    </w:p>
    <w:p>
      <w:pPr>
        <w:pStyle w:val="11"/>
        <w:snapToGrid w:val="0"/>
        <w:spacing w:line="276" w:lineRule="auto"/>
        <w:ind w:firstLine="482" w:firstLineChars="200"/>
        <w:contextualSpacing/>
        <w:jc w:val="both"/>
        <w:rPr>
          <w:rFonts w:hint="eastAsia" w:ascii="Times New Roman" w:eastAsia="黑体" w:cs="Times New Roman"/>
          <w:b/>
          <w:color w:val="auto"/>
        </w:rPr>
      </w:pPr>
      <w:r>
        <w:rPr>
          <w:rFonts w:hint="eastAsia" w:ascii="Times New Roman" w:eastAsia="黑体" w:cs="Times New Roman"/>
          <w:b/>
          <w:color w:val="auto"/>
        </w:rPr>
        <w:t>（十二）其他风险：指由于自然灾害</w:t>
      </w:r>
      <w:r>
        <w:rPr>
          <w:rFonts w:ascii="Times New Roman" w:eastAsia="黑体" w:cs="Times New Roman"/>
          <w:b/>
          <w:color w:val="auto"/>
        </w:rPr>
        <w:t>、战争或国家政策变化等不能预见、不能避免</w:t>
      </w:r>
      <w:r>
        <w:rPr>
          <w:rFonts w:hint="eastAsia" w:ascii="Times New Roman" w:eastAsia="黑体" w:cs="Times New Roman"/>
          <w:b/>
          <w:color w:val="auto"/>
        </w:rPr>
        <w:t>、</w:t>
      </w:r>
      <w:r>
        <w:rPr>
          <w:rFonts w:ascii="Times New Roman" w:eastAsia="黑体" w:cs="Times New Roman"/>
          <w:b/>
          <w:color w:val="auto"/>
        </w:rPr>
        <w:t>不能克服的</w:t>
      </w:r>
      <w:r>
        <w:rPr>
          <w:rFonts w:hint="eastAsia" w:ascii="Times New Roman" w:eastAsia="黑体" w:cs="Times New Roman"/>
          <w:b/>
          <w:color w:val="auto"/>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color w:val="auto"/>
        </w:rPr>
        <w:t>导致理财资产收益降低或损失，甚至影响理财产品的受理、投资、偿还等的正常进行，进而影响理财产品的资金收益和本金安全。</w:t>
      </w:r>
    </w:p>
    <w:p>
      <w:pPr>
        <w:spacing w:line="360" w:lineRule="exact"/>
        <w:ind w:left="180" w:firstLine="420"/>
        <w:contextualSpacing/>
        <w:rPr>
          <w:rFonts w:hint="eastAsia" w:eastAsia="黑体"/>
          <w:b/>
          <w:kern w:val="0"/>
          <w:sz w:val="24"/>
        </w:rPr>
      </w:pPr>
      <w:r>
        <w:rPr>
          <w:rFonts w:hint="eastAsia" w:eastAsia="黑体"/>
          <w:b/>
          <w:kern w:val="0"/>
          <w:sz w:val="24"/>
        </w:rPr>
        <w:t>（十三）关联关系风险：本产品的代销机构与托管人可能为产品管理人的关联方，华夏理财已履行了现行法律法规和监管规定的必要程序。本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华夏理财的控股股东，二者存在关联关系。如因存在关联关系，导致销售机构对本理财产品未能进行独立、审慎判断或放松准入管理，可能会给投资者造成潜在风险。</w:t>
      </w:r>
    </w:p>
    <w:p>
      <w:pPr>
        <w:spacing w:line="360" w:lineRule="exact"/>
        <w:ind w:left="180" w:firstLine="420"/>
        <w:contextualSpacing/>
        <w:rPr>
          <w:rFonts w:hint="eastAsia" w:eastAsia="黑体"/>
          <w:b/>
          <w:kern w:val="0"/>
          <w:sz w:val="24"/>
        </w:rPr>
      </w:pPr>
      <w:r>
        <w:rPr>
          <w:rFonts w:hint="eastAsia" w:eastAsia="黑体"/>
          <w:b/>
          <w:kern w:val="0"/>
          <w:sz w:val="24"/>
        </w:rPr>
        <w:t>（十四）拟投资市场及资产的流动性风险评估</w:t>
      </w:r>
    </w:p>
    <w:p>
      <w:pPr>
        <w:spacing w:line="360" w:lineRule="exact"/>
        <w:ind w:left="180" w:firstLine="420"/>
        <w:contextualSpacing/>
        <w:rPr>
          <w:rFonts w:hint="eastAsia" w:eastAsia="黑体"/>
          <w:b/>
          <w:kern w:val="0"/>
          <w:sz w:val="24"/>
        </w:rPr>
      </w:pPr>
      <w:r>
        <w:rPr>
          <w:rFonts w:hint="eastAsia" w:eastAsia="黑体"/>
          <w:b/>
          <w:kern w:val="0"/>
          <w:sz w:val="24"/>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pPr>
        <w:spacing w:line="360" w:lineRule="exact"/>
        <w:ind w:left="180" w:firstLine="420"/>
        <w:contextualSpacing/>
        <w:rPr>
          <w:rFonts w:hint="eastAsia" w:eastAsia="黑体"/>
          <w:b/>
          <w:kern w:val="0"/>
          <w:sz w:val="24"/>
        </w:rPr>
      </w:pPr>
      <w:r>
        <w:rPr>
          <w:rFonts w:hint="eastAsia" w:eastAsia="黑体"/>
          <w:b/>
          <w:kern w:val="0"/>
          <w:sz w:val="24"/>
        </w:rPr>
        <w:t>但不排除在特定阶段、特定市场环境下特定投资标的出现流动性较差的情况。因此，本理财产品投资于上述资产时，可能存在以下流动性风险：一是产品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说明书“投资对象”章节列示为准）。两者均可能使本理财产品资产净值受到不利影响。</w:t>
      </w:r>
    </w:p>
    <w:p>
      <w:pPr>
        <w:spacing w:line="360" w:lineRule="exact"/>
        <w:ind w:left="180" w:firstLine="420"/>
        <w:contextualSpacing/>
        <w:rPr>
          <w:rFonts w:hint="eastAsia" w:eastAsia="黑体"/>
          <w:b/>
          <w:kern w:val="0"/>
          <w:sz w:val="24"/>
        </w:rPr>
      </w:pPr>
      <w:r>
        <w:rPr>
          <w:rFonts w:hint="eastAsia" w:eastAsia="黑体"/>
          <w:b/>
          <w:kern w:val="0"/>
          <w:sz w:val="24"/>
        </w:rPr>
        <w:t>（十五）流动性应对措施及对投资者的潜在影响</w:t>
      </w:r>
    </w:p>
    <w:p>
      <w:pPr>
        <w:spacing w:line="360" w:lineRule="exact"/>
        <w:ind w:left="180" w:firstLine="420"/>
        <w:contextualSpacing/>
        <w:rPr>
          <w:rFonts w:hint="eastAsia" w:eastAsia="黑体"/>
          <w:b/>
          <w:kern w:val="0"/>
          <w:sz w:val="24"/>
        </w:rPr>
      </w:pPr>
      <w:r>
        <w:rPr>
          <w:rFonts w:hint="eastAsia" w:eastAsia="黑体"/>
          <w:b/>
          <w:kern w:val="0"/>
          <w:sz w:val="24"/>
        </w:rPr>
        <w:t>理财产品管理人可依照法律法规及理财产品销售文件的约定，综合运用各类流动性应对措施，作为特定情形下流动性风险管理的辅助手段，包括但不限于：设定单一投资者认购金额上限、设定理财产品单日净认购比例上限、拒绝大额认购、暂停认购，以及银保监会规定的其他风险应对措施。</w:t>
      </w:r>
    </w:p>
    <w:p>
      <w:pPr>
        <w:spacing w:line="360" w:lineRule="exact"/>
        <w:ind w:left="180" w:firstLine="420"/>
        <w:contextualSpacing/>
        <w:rPr>
          <w:rFonts w:hint="eastAsia" w:eastAsia="黑体"/>
          <w:b/>
          <w:kern w:val="0"/>
          <w:sz w:val="24"/>
        </w:rPr>
      </w:pPr>
      <w:r>
        <w:rPr>
          <w:rFonts w:hint="eastAsia" w:eastAsia="黑体"/>
          <w:b/>
          <w:kern w:val="0"/>
          <w:sz w:val="24"/>
        </w:rPr>
        <w:t>当理财产品管理人实施流动性应对措施时，可能对投资者具有一定的潜在影响，包括但不限于不能认购本理财产品、认购交易确认失败等。</w:t>
      </w:r>
    </w:p>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kern w:val="0"/>
          <w:sz w:val="24"/>
        </w:rPr>
      </w:pPr>
      <w:r>
        <w:rPr>
          <w:rFonts w:hint="eastAsia" w:ascii="仿宋" w:hAnsi="仿宋" w:eastAsia="仿宋" w:cs="宋体"/>
          <w:b/>
          <w:kern w:val="0"/>
          <w:sz w:val="24"/>
        </w:rPr>
        <w:t>1.</w:t>
      </w:r>
      <w:r>
        <w:rPr>
          <w:rFonts w:ascii="仿宋" w:hAnsi="仿宋" w:eastAsia="仿宋" w:cs="宋体"/>
          <w:b/>
          <w:kern w:val="0"/>
          <w:sz w:val="24"/>
        </w:rPr>
        <w:t>华夏</w:t>
      </w:r>
      <w:r>
        <w:rPr>
          <w:rFonts w:hint="eastAsia" w:ascii="仿宋" w:hAnsi="仿宋" w:eastAsia="仿宋" w:cs="宋体"/>
          <w:b/>
          <w:kern w:val="0"/>
          <w:sz w:val="24"/>
        </w:rPr>
        <w:t>理财</w:t>
      </w:r>
      <w:r>
        <w:rPr>
          <w:rFonts w:ascii="仿宋" w:hAnsi="仿宋" w:eastAsia="仿宋" w:cs="宋体"/>
          <w:b/>
          <w:kern w:val="0"/>
          <w:sz w:val="24"/>
        </w:rPr>
        <w:t>将按照法律法规及监管</w:t>
      </w:r>
      <w:r>
        <w:rPr>
          <w:rFonts w:hint="eastAsia" w:ascii="仿宋" w:hAnsi="仿宋" w:eastAsia="仿宋" w:cs="宋体"/>
          <w:b/>
          <w:kern w:val="0"/>
          <w:sz w:val="24"/>
        </w:rPr>
        <w:t>规定</w:t>
      </w:r>
      <w:r>
        <w:rPr>
          <w:rFonts w:ascii="仿宋" w:hAnsi="仿宋" w:eastAsia="仿宋" w:cs="宋体"/>
          <w:b/>
          <w:kern w:val="0"/>
          <w:sz w:val="24"/>
        </w:rPr>
        <w:t>的要求</w:t>
      </w:r>
      <w:r>
        <w:rPr>
          <w:rFonts w:hint="eastAsia" w:ascii="仿宋" w:hAnsi="仿宋" w:eastAsia="仿宋" w:cs="宋体"/>
          <w:b/>
          <w:kern w:val="0"/>
          <w:sz w:val="24"/>
        </w:rPr>
        <w:t>披露本理财产品信息，披露事项包括理财产品成立、不成立、净值、收益分配、到期、提前终止、延期、调整等内容。信息披露将通过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等渠道发布公告</w:t>
      </w:r>
      <w:r>
        <w:rPr>
          <w:rFonts w:ascii="仿宋" w:hAnsi="仿宋" w:eastAsia="仿宋" w:cs="宋体"/>
          <w:b/>
          <w:kern w:val="0"/>
          <w:sz w:val="24"/>
        </w:rPr>
        <w:t>。投资者应定期通过上述相关渠道获知有关信息或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577）查询。如投资者未及时查询产品信息，因此产生的责任和风险由投资者承担。</w:t>
      </w:r>
    </w:p>
    <w:p>
      <w:pPr>
        <w:autoSpaceDE w:val="0"/>
        <w:autoSpaceDN w:val="0"/>
        <w:adjustRightInd w:val="0"/>
        <w:snapToGrid w:val="0"/>
        <w:spacing w:line="276" w:lineRule="auto"/>
        <w:ind w:firstLine="480" w:firstLineChars="200"/>
        <w:contextualSpacing/>
        <w:rPr>
          <w:rFonts w:hint="eastAsia" w:ascii="仿宋" w:hAnsi="仿宋" w:eastAsia="仿宋" w:cs="宋体"/>
          <w:kern w:val="0"/>
          <w:sz w:val="24"/>
        </w:rPr>
      </w:pPr>
      <w:r>
        <w:rPr>
          <w:rFonts w:hint="eastAsia" w:ascii="仿宋" w:hAnsi="仿宋" w:eastAsia="仿宋" w:cs="宋体"/>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在产品不成立时，华夏</w:t>
      </w:r>
      <w:r>
        <w:rPr>
          <w:rFonts w:hint="eastAsia" w:ascii="仿宋" w:hAnsi="仿宋" w:eastAsia="仿宋" w:cs="宋体"/>
          <w:kern w:val="0"/>
          <w:sz w:val="24"/>
        </w:rPr>
        <w:t>理财</w:t>
      </w:r>
      <w:r>
        <w:rPr>
          <w:rFonts w:ascii="仿宋" w:hAnsi="仿宋" w:eastAsia="仿宋" w:cs="宋体"/>
          <w:kern w:val="0"/>
          <w:sz w:val="24"/>
        </w:rPr>
        <w:t>将在原定成立日后2个工作日内发布产品不成立</w:t>
      </w:r>
      <w:r>
        <w:rPr>
          <w:rFonts w:hint="eastAsia" w:ascii="仿宋" w:hAnsi="仿宋" w:eastAsia="仿宋" w:cs="宋体"/>
          <w:kern w:val="0"/>
          <w:sz w:val="24"/>
        </w:rPr>
        <w:t>公告</w:t>
      </w:r>
      <w:r>
        <w:rPr>
          <w:rFonts w:ascii="仿宋" w:hAnsi="仿宋" w:eastAsia="仿宋" w:cs="宋体"/>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4.</w:t>
      </w:r>
      <w:r>
        <w:rPr>
          <w:rFonts w:ascii="仿宋" w:hAnsi="仿宋" w:eastAsia="仿宋" w:cs="宋体"/>
          <w:kern w:val="0"/>
          <w:sz w:val="24"/>
        </w:rPr>
        <w:t>本理财产品成立后</w:t>
      </w:r>
      <w:r>
        <w:rPr>
          <w:rFonts w:hint="eastAsia" w:ascii="仿宋" w:hAnsi="仿宋" w:eastAsia="仿宋" w:cs="宋体"/>
          <w:kern w:val="0"/>
          <w:sz w:val="24"/>
        </w:rPr>
        <w:t>5</w:t>
      </w:r>
      <w:r>
        <w:rPr>
          <w:rFonts w:ascii="仿宋" w:hAnsi="仿宋" w:eastAsia="仿宋" w:cs="宋体"/>
          <w:kern w:val="0"/>
          <w:sz w:val="24"/>
        </w:rPr>
        <w:t>个工作日内，华夏</w:t>
      </w:r>
      <w:r>
        <w:rPr>
          <w:rFonts w:hint="eastAsia" w:ascii="仿宋" w:hAnsi="仿宋" w:eastAsia="仿宋" w:cs="宋体"/>
          <w:kern w:val="0"/>
          <w:sz w:val="24"/>
        </w:rPr>
        <w:t>理财</w:t>
      </w:r>
      <w:r>
        <w:rPr>
          <w:rFonts w:ascii="仿宋" w:hAnsi="仿宋" w:eastAsia="仿宋" w:cs="宋体"/>
          <w:kern w:val="0"/>
          <w:sz w:val="24"/>
        </w:rPr>
        <w:t>将发布产品</w:t>
      </w:r>
      <w:r>
        <w:rPr>
          <w:rFonts w:hint="eastAsia" w:ascii="仿宋" w:hAnsi="仿宋" w:eastAsia="仿宋" w:cs="宋体"/>
          <w:kern w:val="0"/>
          <w:sz w:val="24"/>
        </w:rPr>
        <w:t>成立公</w:t>
      </w:r>
      <w:r>
        <w:rPr>
          <w:rFonts w:ascii="仿宋" w:hAnsi="仿宋" w:eastAsia="仿宋" w:cs="宋体"/>
          <w:kern w:val="0"/>
          <w:sz w:val="24"/>
        </w:rPr>
        <w:t>告。</w:t>
      </w:r>
    </w:p>
    <w:p>
      <w:pPr>
        <w:autoSpaceDE w:val="0"/>
        <w:autoSpaceDN w:val="0"/>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kern w:val="0"/>
          <w:sz w:val="24"/>
        </w:rPr>
        <w:t>5</w:t>
      </w:r>
      <w:r>
        <w:rPr>
          <w:rFonts w:hint="eastAsia" w:ascii="仿宋" w:hAnsi="仿宋" w:eastAsia="仿宋" w:cs="宋体"/>
          <w:kern w:val="0"/>
          <w:sz w:val="24"/>
        </w:rPr>
        <w:t>.华夏理财在每个季度结束之日起15</w:t>
      </w:r>
      <w:r>
        <w:rPr>
          <w:rFonts w:hint="eastAsia" w:ascii="仿宋" w:hAnsi="仿宋" w:eastAsia="仿宋" w:cs="宋体"/>
          <w:color w:val="000000"/>
          <w:kern w:val="0"/>
          <w:sz w:val="24"/>
        </w:rPr>
        <w:t>个工作</w:t>
      </w:r>
      <w:r>
        <w:rPr>
          <w:rFonts w:hint="eastAsia" w:ascii="仿宋" w:hAnsi="仿宋" w:eastAsia="仿宋" w:cs="宋体"/>
          <w:kern w:val="0"/>
          <w:sz w:val="24"/>
        </w:rPr>
        <w:t>日内、上半年结束之日起60</w:t>
      </w:r>
      <w:r>
        <w:rPr>
          <w:rFonts w:hint="eastAsia" w:ascii="仿宋" w:hAnsi="仿宋" w:eastAsia="仿宋" w:cs="宋体"/>
          <w:color w:val="000000"/>
          <w:kern w:val="0"/>
          <w:sz w:val="24"/>
        </w:rPr>
        <w:t>个工作</w:t>
      </w:r>
      <w:r>
        <w:rPr>
          <w:rFonts w:hint="eastAsia" w:ascii="仿宋" w:hAnsi="仿宋" w:eastAsia="仿宋" w:cs="宋体"/>
          <w:kern w:val="0"/>
          <w:sz w:val="24"/>
        </w:rPr>
        <w:t>日内、每年结束之日起90</w:t>
      </w:r>
      <w:r>
        <w:rPr>
          <w:rFonts w:hint="eastAsia" w:ascii="仿宋" w:hAnsi="仿宋" w:eastAsia="仿宋" w:cs="宋体"/>
          <w:color w:val="000000"/>
          <w:kern w:val="0"/>
          <w:sz w:val="24"/>
        </w:rPr>
        <w:t>个工作</w:t>
      </w:r>
      <w:r>
        <w:rPr>
          <w:rFonts w:hint="eastAsia" w:ascii="仿宋" w:hAnsi="仿宋" w:eastAsia="仿宋" w:cs="宋体"/>
          <w:kern w:val="0"/>
          <w:sz w:val="24"/>
        </w:rPr>
        <w:t>日内，编制完成本理财产品的季度、半年和年度报告</w:t>
      </w:r>
      <w:r>
        <w:rPr>
          <w:rFonts w:hint="eastAsia" w:ascii="仿宋" w:hAnsi="仿宋" w:eastAsia="仿宋" w:cs="宋体"/>
          <w:color w:val="000000"/>
          <w:kern w:val="0"/>
          <w:sz w:val="24"/>
        </w:rPr>
        <w:t>，成立不足90个工作日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6</w:t>
      </w:r>
      <w:r>
        <w:rPr>
          <w:rFonts w:hint="eastAsia" w:ascii="仿宋" w:hAnsi="仿宋" w:eastAsia="仿宋" w:cs="宋体"/>
          <w:kern w:val="0"/>
          <w:sz w:val="24"/>
        </w:rPr>
        <w:t>.</w:t>
      </w:r>
      <w:r>
        <w:rPr>
          <w:rFonts w:ascii="仿宋" w:hAnsi="仿宋" w:eastAsia="仿宋" w:cs="宋体"/>
          <w:kern w:val="0"/>
          <w:sz w:val="24"/>
        </w:rPr>
        <w:t>如</w:t>
      </w:r>
      <w:r>
        <w:rPr>
          <w:rFonts w:hint="eastAsia" w:ascii="仿宋" w:hAnsi="仿宋" w:eastAsia="仿宋" w:cs="宋体"/>
          <w:kern w:val="0"/>
          <w:sz w:val="24"/>
        </w:rPr>
        <w:t>华夏理财</w:t>
      </w:r>
      <w:r>
        <w:rPr>
          <w:rFonts w:ascii="仿宋" w:hAnsi="仿宋" w:eastAsia="仿宋" w:cs="宋体"/>
          <w:kern w:val="0"/>
          <w:sz w:val="24"/>
        </w:rPr>
        <w:t>决定</w:t>
      </w:r>
      <w:r>
        <w:rPr>
          <w:rFonts w:hint="eastAsia" w:ascii="仿宋" w:hAnsi="仿宋" w:eastAsia="仿宋" w:cs="宋体"/>
          <w:kern w:val="0"/>
          <w:sz w:val="24"/>
        </w:rPr>
        <w:t>提前</w:t>
      </w:r>
      <w:r>
        <w:rPr>
          <w:rFonts w:ascii="仿宋" w:hAnsi="仿宋" w:eastAsia="仿宋" w:cs="宋体"/>
          <w:kern w:val="0"/>
          <w:sz w:val="24"/>
        </w:rPr>
        <w:t>终止本理财产品，将于</w:t>
      </w:r>
      <w:r>
        <w:rPr>
          <w:rFonts w:hint="eastAsia" w:ascii="仿宋" w:hAnsi="仿宋" w:eastAsia="仿宋" w:cs="宋体"/>
          <w:kern w:val="0"/>
          <w:sz w:val="24"/>
        </w:rPr>
        <w:t>提前</w:t>
      </w:r>
      <w:r>
        <w:rPr>
          <w:rFonts w:ascii="仿宋" w:hAnsi="仿宋" w:eastAsia="仿宋" w:cs="宋体"/>
          <w:kern w:val="0"/>
          <w:sz w:val="24"/>
        </w:rPr>
        <w:t>终止日的前3个工作日发布相关信息公告。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7</w:t>
      </w:r>
      <w:r>
        <w:rPr>
          <w:rFonts w:hint="eastAsia" w:ascii="仿宋" w:hAnsi="仿宋" w:eastAsia="仿宋" w:cs="宋体"/>
          <w:kern w:val="0"/>
          <w:sz w:val="24"/>
        </w:rPr>
        <w:t>.</w:t>
      </w:r>
      <w:r>
        <w:rPr>
          <w:rFonts w:ascii="仿宋" w:hAnsi="仿宋" w:eastAsia="仿宋" w:cs="宋体"/>
          <w:kern w:val="0"/>
          <w:sz w:val="24"/>
        </w:rPr>
        <w:t>产品</w:t>
      </w:r>
      <w:r>
        <w:rPr>
          <w:rFonts w:hint="eastAsia" w:ascii="仿宋" w:hAnsi="仿宋" w:eastAsia="仿宋" w:cs="宋体"/>
          <w:kern w:val="0"/>
          <w:sz w:val="24"/>
        </w:rPr>
        <w:t>到期/</w:t>
      </w:r>
      <w:r>
        <w:rPr>
          <w:rFonts w:ascii="仿宋" w:hAnsi="仿宋" w:eastAsia="仿宋" w:cs="宋体"/>
          <w:kern w:val="0"/>
          <w:sz w:val="24"/>
        </w:rPr>
        <w:t>终止后</w:t>
      </w:r>
      <w:r>
        <w:rPr>
          <w:rFonts w:hint="eastAsia" w:ascii="仿宋" w:hAnsi="仿宋" w:eastAsia="仿宋" w:cs="宋体"/>
          <w:kern w:val="0"/>
          <w:sz w:val="24"/>
        </w:rPr>
        <w:t>5</w:t>
      </w:r>
      <w:r>
        <w:rPr>
          <w:rFonts w:ascii="仿宋" w:hAnsi="仿宋" w:eastAsia="仿宋" w:cs="宋体"/>
          <w:kern w:val="0"/>
          <w:sz w:val="24"/>
        </w:rPr>
        <w:t>个工作日内，华夏</w:t>
      </w:r>
      <w:r>
        <w:rPr>
          <w:rFonts w:hint="eastAsia" w:ascii="仿宋" w:hAnsi="仿宋" w:eastAsia="仿宋" w:cs="宋体"/>
          <w:kern w:val="0"/>
          <w:sz w:val="24"/>
        </w:rPr>
        <w:t>理财</w:t>
      </w:r>
      <w:r>
        <w:rPr>
          <w:rFonts w:ascii="仿宋" w:hAnsi="仿宋" w:eastAsia="仿宋" w:cs="宋体"/>
          <w:kern w:val="0"/>
          <w:sz w:val="24"/>
        </w:rPr>
        <w:t>将发布产品到期</w:t>
      </w:r>
      <w:r>
        <w:rPr>
          <w:rFonts w:hint="eastAsia" w:ascii="仿宋" w:hAnsi="仿宋" w:eastAsia="仿宋" w:cs="宋体"/>
          <w:kern w:val="0"/>
          <w:sz w:val="24"/>
        </w:rPr>
        <w:t>/</w:t>
      </w:r>
      <w:r>
        <w:rPr>
          <w:rFonts w:ascii="仿宋" w:hAnsi="仿宋" w:eastAsia="仿宋" w:cs="宋体"/>
          <w:kern w:val="0"/>
          <w:sz w:val="24"/>
        </w:rPr>
        <w:t>终止报告。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（二）理财产品临时信息披露</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1</w:t>
      </w:r>
      <w:r>
        <w:rPr>
          <w:rFonts w:hint="eastAsia" w:ascii="仿宋" w:hAnsi="仿宋" w:eastAsia="仿宋" w:cs="宋体"/>
          <w:kern w:val="0"/>
          <w:sz w:val="24"/>
        </w:rPr>
        <w:t>.</w:t>
      </w:r>
      <w:r>
        <w:rPr>
          <w:rFonts w:ascii="仿宋" w:hAnsi="仿宋" w:eastAsia="仿宋" w:cs="宋体"/>
          <w:kern w:val="0"/>
          <w:sz w:val="24"/>
        </w:rPr>
        <w:t>临时报告与公告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本理财产品在运作管理过程中，发生以下可能对理财产品</w:t>
      </w:r>
      <w:r>
        <w:rPr>
          <w:rFonts w:hint="eastAsia" w:ascii="仿宋" w:hAnsi="仿宋" w:eastAsia="仿宋" w:cs="宋体"/>
          <w:kern w:val="0"/>
          <w:sz w:val="24"/>
        </w:rPr>
        <w:t>投资者</w:t>
      </w:r>
      <w:r>
        <w:rPr>
          <w:rFonts w:ascii="仿宋" w:hAnsi="仿宋" w:eastAsia="仿宋" w:cs="宋体"/>
          <w:kern w:val="0"/>
          <w:sz w:val="24"/>
        </w:rPr>
        <w:t>权益及份额</w:t>
      </w:r>
      <w:r>
        <w:rPr>
          <w:rFonts w:hint="eastAsia" w:ascii="仿宋" w:hAnsi="仿宋" w:eastAsia="仿宋" w:cs="宋体"/>
          <w:kern w:val="0"/>
          <w:sz w:val="24"/>
        </w:rPr>
        <w:t>净值</w:t>
      </w:r>
      <w:r>
        <w:rPr>
          <w:rFonts w:ascii="仿宋" w:hAnsi="仿宋" w:eastAsia="仿宋" w:cs="宋体"/>
          <w:kern w:val="0"/>
          <w:sz w:val="24"/>
        </w:rPr>
        <w:t>产生重大影响的事项时，华夏</w:t>
      </w:r>
      <w:r>
        <w:rPr>
          <w:rFonts w:hint="eastAsia" w:ascii="仿宋" w:hAnsi="仿宋" w:eastAsia="仿宋" w:cs="宋体"/>
          <w:kern w:val="0"/>
          <w:sz w:val="24"/>
        </w:rPr>
        <w:t>理财作为产品</w:t>
      </w:r>
      <w:r>
        <w:rPr>
          <w:rFonts w:ascii="仿宋" w:hAnsi="仿宋" w:eastAsia="仿宋" w:cs="宋体"/>
          <w:kern w:val="0"/>
          <w:sz w:val="24"/>
        </w:rPr>
        <w:t>管理人将</w:t>
      </w:r>
      <w:r>
        <w:rPr>
          <w:rFonts w:hint="eastAsia" w:ascii="仿宋" w:hAnsi="仿宋" w:eastAsia="仿宋" w:cs="宋体"/>
          <w:kern w:val="0"/>
          <w:sz w:val="24"/>
        </w:rPr>
        <w:t>在事项发生后</w:t>
      </w:r>
      <w:r>
        <w:rPr>
          <w:rFonts w:ascii="仿宋" w:hAnsi="仿宋" w:eastAsia="仿宋" w:cs="宋体"/>
          <w:kern w:val="0"/>
          <w:sz w:val="24"/>
        </w:rPr>
        <w:t>2</w:t>
      </w:r>
      <w:r>
        <w:rPr>
          <w:rFonts w:hint="eastAsia" w:ascii="仿宋" w:hAnsi="仿宋" w:eastAsia="仿宋" w:cs="宋体"/>
          <w:kern w:val="0"/>
          <w:sz w:val="24"/>
        </w:rPr>
        <w:t>个</w:t>
      </w:r>
      <w:r>
        <w:rPr>
          <w:rFonts w:ascii="仿宋" w:hAnsi="仿宋" w:eastAsia="仿宋" w:cs="宋体"/>
          <w:kern w:val="0"/>
          <w:sz w:val="24"/>
        </w:rPr>
        <w:t>工作</w:t>
      </w:r>
      <w:r>
        <w:rPr>
          <w:rFonts w:hint="eastAsia" w:ascii="仿宋" w:hAnsi="仿宋" w:eastAsia="仿宋" w:cs="宋体"/>
          <w:kern w:val="0"/>
          <w:sz w:val="24"/>
        </w:rPr>
        <w:t>日内</w:t>
      </w:r>
      <w:r>
        <w:rPr>
          <w:rFonts w:ascii="仿宋" w:hAnsi="仿宋" w:eastAsia="仿宋" w:cs="宋体"/>
          <w:kern w:val="0"/>
          <w:sz w:val="24"/>
        </w:rPr>
        <w:t>及时</w:t>
      </w:r>
      <w:r>
        <w:rPr>
          <w:rFonts w:hint="eastAsia" w:ascii="仿宋" w:hAnsi="仿宋" w:eastAsia="仿宋" w:cs="宋体"/>
          <w:kern w:val="0"/>
          <w:sz w:val="24"/>
        </w:rPr>
        <w:t>发布公告。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（1）与本理财产品有关的重大诉讼；</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产品</w:t>
      </w:r>
      <w:r>
        <w:rPr>
          <w:rFonts w:ascii="仿宋" w:hAnsi="仿宋" w:eastAsia="仿宋" w:cs="宋体"/>
          <w:kern w:val="0"/>
          <w:sz w:val="24"/>
        </w:rPr>
        <w:t>管理人、</w:t>
      </w:r>
      <w:r>
        <w:rPr>
          <w:rFonts w:hint="eastAsia" w:ascii="仿宋" w:hAnsi="仿宋" w:eastAsia="仿宋" w:cs="宋体"/>
          <w:kern w:val="0"/>
          <w:sz w:val="24"/>
        </w:rPr>
        <w:t>托管</w:t>
      </w:r>
      <w:r>
        <w:rPr>
          <w:rFonts w:ascii="仿宋" w:hAnsi="仿宋" w:eastAsia="仿宋" w:cs="宋体"/>
          <w:kern w:val="0"/>
          <w:sz w:val="24"/>
        </w:rPr>
        <w:t>人、投资顾问</w:t>
      </w:r>
      <w:r>
        <w:rPr>
          <w:rFonts w:hint="eastAsia" w:ascii="仿宋" w:hAnsi="仿宋" w:eastAsia="仿宋" w:cs="宋体"/>
          <w:kern w:val="0"/>
          <w:sz w:val="24"/>
        </w:rPr>
        <w:t>（如有）</w:t>
      </w:r>
      <w:r>
        <w:rPr>
          <w:rFonts w:ascii="仿宋" w:hAnsi="仿宋" w:eastAsia="仿宋" w:cs="宋体"/>
          <w:kern w:val="0"/>
          <w:sz w:val="24"/>
        </w:rPr>
        <w:t>受到监管部门的调查；</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3</w:t>
      </w:r>
      <w:r>
        <w:rPr>
          <w:rFonts w:ascii="仿宋" w:hAnsi="仿宋" w:eastAsia="仿宋" w:cs="宋体"/>
          <w:kern w:val="0"/>
          <w:sz w:val="24"/>
        </w:rPr>
        <w:t>）其它应披露的事项。</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2</w:t>
      </w:r>
      <w:r>
        <w:rPr>
          <w:rFonts w:hint="eastAsia" w:ascii="仿宋" w:hAnsi="仿宋" w:eastAsia="仿宋" w:cs="宋体"/>
          <w:kern w:val="0"/>
          <w:sz w:val="24"/>
        </w:rPr>
        <w:t>.</w:t>
      </w:r>
      <w:r>
        <w:rPr>
          <w:rFonts w:ascii="仿宋" w:hAnsi="仿宋" w:eastAsia="仿宋" w:cs="宋体"/>
          <w:kern w:val="0"/>
          <w:sz w:val="24"/>
        </w:rPr>
        <w:t>本理财产品存续期间如发生华夏</w:t>
      </w:r>
      <w:r>
        <w:rPr>
          <w:rFonts w:hint="eastAsia" w:ascii="仿宋" w:hAnsi="仿宋" w:eastAsia="仿宋" w:cs="宋体"/>
          <w:kern w:val="0"/>
          <w:sz w:val="24"/>
        </w:rPr>
        <w:t>理财</w:t>
      </w:r>
      <w:r>
        <w:rPr>
          <w:rFonts w:ascii="仿宋" w:hAnsi="仿宋" w:eastAsia="仿宋" w:cs="宋体"/>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kern w:val="0"/>
          <w:sz w:val="24"/>
        </w:rPr>
        <w:t>理财将在事项发生后</w:t>
      </w:r>
      <w:r>
        <w:rPr>
          <w:rFonts w:ascii="仿宋" w:hAnsi="仿宋" w:eastAsia="仿宋" w:cs="宋体"/>
          <w:kern w:val="0"/>
          <w:sz w:val="24"/>
        </w:rPr>
        <w:t>2</w:t>
      </w:r>
      <w:r>
        <w:rPr>
          <w:rFonts w:hint="eastAsia" w:ascii="仿宋" w:hAnsi="仿宋" w:eastAsia="仿宋" w:cs="宋体"/>
          <w:kern w:val="0"/>
          <w:sz w:val="24"/>
        </w:rPr>
        <w:t>个</w:t>
      </w:r>
      <w:r>
        <w:rPr>
          <w:rFonts w:ascii="仿宋" w:hAnsi="仿宋" w:eastAsia="仿宋" w:cs="宋体"/>
          <w:kern w:val="0"/>
          <w:sz w:val="24"/>
        </w:rPr>
        <w:t>工作</w:t>
      </w:r>
      <w:r>
        <w:rPr>
          <w:rFonts w:hint="eastAsia" w:ascii="仿宋" w:hAnsi="仿宋" w:eastAsia="仿宋" w:cs="宋体"/>
          <w:kern w:val="0"/>
          <w:sz w:val="24"/>
        </w:rPr>
        <w:t>日内</w:t>
      </w:r>
      <w:r>
        <w:rPr>
          <w:rFonts w:ascii="仿宋" w:hAnsi="仿宋" w:eastAsia="仿宋" w:cs="宋体"/>
          <w:kern w:val="0"/>
          <w:sz w:val="24"/>
        </w:rPr>
        <w:t>发布相关信息公告。</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3.在发生涉及理财产品认购事项的调整时，产品管理人将按照监管规定及理财产品销售文件约定发布临时公告。</w:t>
      </w:r>
    </w:p>
    <w:p>
      <w:pPr>
        <w:pStyle w:val="1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hint="eastAsia" w:ascii="仿宋" w:hAnsi="仿宋" w:eastAsia="仿宋" w:cs="宋体"/>
          <w:b/>
          <w:bCs/>
          <w:kern w:val="0"/>
          <w:sz w:val="24"/>
        </w:rPr>
      </w:pPr>
      <w:r>
        <w:rPr>
          <w:rFonts w:ascii="仿宋" w:hAnsi="仿宋" w:eastAsia="仿宋" w:cs="宋体"/>
          <w:b/>
          <w:bCs/>
          <w:kern w:val="0"/>
          <w:sz w:val="24"/>
        </w:rPr>
        <w:t>在本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hint="eastAsia" w:ascii="仿宋" w:hAnsi="仿宋" w:eastAsia="仿宋" w:cs="宋体"/>
          <w:kern w:val="0"/>
          <w:sz w:val="24"/>
        </w:rPr>
      </w:pPr>
      <w:r>
        <w:rPr>
          <w:rFonts w:ascii="仿宋" w:hAnsi="仿宋" w:eastAsia="仿宋" w:cs="宋体"/>
          <w:color w:val="000000"/>
          <w:kern w:val="0"/>
          <w:sz w:val="24"/>
        </w:rPr>
        <w:t>本产品说明书</w:t>
      </w:r>
      <w:r>
        <w:rPr>
          <w:rFonts w:hint="eastAsia" w:ascii="仿宋" w:hAnsi="仿宋" w:eastAsia="仿宋" w:cs="宋体"/>
          <w:color w:val="000000"/>
          <w:kern w:val="0"/>
          <w:sz w:val="24"/>
        </w:rPr>
        <w:t>与理财产品协议书、理财产品风险揭示书和投资者权益须知共同组成投资者与华夏理财之间理财产品合同的不可分割之组成部分</w:t>
      </w:r>
      <w:r>
        <w:rPr>
          <w:rFonts w:ascii="仿宋" w:hAnsi="仿宋" w:eastAsia="仿宋" w:cs="宋体"/>
          <w:color w:val="000000"/>
          <w:kern w:val="0"/>
          <w:sz w:val="24"/>
        </w:rPr>
        <w:t>。</w:t>
      </w:r>
      <w:r>
        <w:rPr>
          <w:rFonts w:ascii="仿宋" w:hAnsi="仿宋" w:eastAsia="仿宋" w:cs="宋体"/>
          <w:kern w:val="0"/>
          <w:sz w:val="24"/>
        </w:rPr>
        <w:t>若投资者对本产品说明书的内容有任何疑问，请向华夏</w:t>
      </w:r>
      <w:r>
        <w:rPr>
          <w:rFonts w:hint="eastAsia" w:ascii="仿宋" w:hAnsi="仿宋" w:eastAsia="仿宋" w:cs="宋体"/>
          <w:kern w:val="0"/>
          <w:sz w:val="24"/>
        </w:rPr>
        <w:t>理财</w:t>
      </w:r>
      <w:r>
        <w:rPr>
          <w:rFonts w:hint="eastAsia" w:ascii="仿宋" w:hAnsi="仿宋" w:eastAsia="仿宋" w:cs="宋体"/>
          <w:color w:val="000000"/>
          <w:kern w:val="0"/>
          <w:sz w:val="24"/>
        </w:rPr>
        <w:t>/代销机构</w:t>
      </w:r>
      <w:r>
        <w:rPr>
          <w:rFonts w:ascii="仿宋" w:hAnsi="仿宋" w:eastAsia="仿宋" w:cs="宋体"/>
          <w:kern w:val="0"/>
          <w:sz w:val="24"/>
        </w:rPr>
        <w:t>咨询。</w:t>
      </w:r>
    </w:p>
    <w:p>
      <w:pPr>
        <w:widowControl/>
        <w:adjustRightInd w:val="0"/>
        <w:snapToGrid w:val="0"/>
        <w:spacing w:line="276" w:lineRule="auto"/>
        <w:ind w:firstLine="482" w:firstLineChars="200"/>
        <w:contextualSpacing/>
        <w:rPr>
          <w:rFonts w:eastAsia="黑体"/>
          <w:b/>
          <w:bCs/>
          <w:sz w:val="24"/>
        </w:rPr>
      </w:pPr>
      <w:r>
        <w:rPr>
          <w:rFonts w:eastAsia="黑体"/>
          <w:b/>
          <w:bCs/>
          <w:sz w:val="24"/>
        </w:rPr>
        <w:t>投资者在</w:t>
      </w:r>
      <w:r>
        <w:rPr>
          <w:rFonts w:hint="eastAsia" w:eastAsia="黑体"/>
          <w:b/>
          <w:bCs/>
          <w:sz w:val="24"/>
        </w:rPr>
        <w:t>购买</w:t>
      </w:r>
      <w:r>
        <w:rPr>
          <w:rFonts w:eastAsia="黑体"/>
          <w:b/>
          <w:bCs/>
          <w:sz w:val="24"/>
        </w:rPr>
        <w:t>理财产品前已阅读本理财产品风险提示，充分了解并知晓本理财产品的风险，自愿承担相</w:t>
      </w:r>
      <w:r>
        <w:rPr>
          <w:rFonts w:hint="eastAsia" w:eastAsia="黑体"/>
          <w:b/>
          <w:bCs/>
          <w:sz w:val="24"/>
        </w:rPr>
        <w:t>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w:t>
      </w:r>
      <w:r>
        <w:rPr>
          <w:rFonts w:eastAsia="黑体"/>
          <w:b/>
          <w:bCs/>
          <w:sz w:val="24"/>
        </w:rPr>
        <w:t>投资。</w:t>
      </w:r>
    </w:p>
    <w:p>
      <w:pPr>
        <w:pStyle w:val="1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华夏理财/代销机构网点柜面渠道购买本理财产品的，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如客户通过华夏理财/代销机构电子渠道购买本理财产品的，本产品说明书自客户通过电子渠道确认同意，完成认购资金划付，并经华夏理财系统确认购买份额之日起生效。</w:t>
      </w:r>
    </w:p>
    <w:p>
      <w:pPr>
        <w:autoSpaceDE w:val="0"/>
        <w:autoSpaceDN w:val="0"/>
        <w:adjustRightInd w:val="0"/>
        <w:snapToGrid w:val="0"/>
        <w:spacing w:line="276" w:lineRule="auto"/>
        <w:ind w:firstLine="480" w:firstLineChars="200"/>
        <w:contextualSpacing/>
        <w:jc w:val="left"/>
        <w:rPr>
          <w:rFonts w:hint="eastAsia" w:ascii="仿宋" w:hAnsi="仿宋" w:eastAsia="仿宋" w:cs="宋体"/>
          <w:kern w:val="0"/>
          <w:sz w:val="24"/>
        </w:rPr>
      </w:pPr>
    </w:p>
    <w:p>
      <w:pPr>
        <w:autoSpaceDE w:val="0"/>
        <w:autoSpaceDN w:val="0"/>
        <w:adjustRightInd w:val="0"/>
        <w:snapToGrid w:val="0"/>
        <w:spacing w:line="276" w:lineRule="auto"/>
        <w:ind w:firstLine="480" w:firstLineChars="200"/>
        <w:contextualSpacing/>
        <w:jc w:val="right"/>
        <w:rPr>
          <w:rFonts w:hint="eastAsia" w:ascii="仿宋" w:hAnsi="仿宋" w:eastAsia="仿宋" w:cs="宋体"/>
          <w:kern w:val="0"/>
          <w:sz w:val="24"/>
        </w:rPr>
      </w:pP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产品管理人：</w:t>
      </w:r>
      <w:r>
        <w:rPr>
          <w:rFonts w:hint="eastAsia" w:ascii="仿宋" w:hAnsi="仿宋" w:eastAsia="仿宋" w:cs="宋体"/>
          <w:kern w:val="0"/>
          <w:sz w:val="24"/>
        </w:rPr>
        <w:t>华夏理财有限责任公司</w:t>
      </w: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r>
        <w:rPr>
          <w:rFonts w:hint="eastAsia" w:ascii="仿宋" w:hAnsi="仿宋" w:eastAsia="仿宋" w:cs="宋体"/>
          <w:color w:val="000000"/>
        </w:rPr>
        <w:t xml:space="preserve">      </w:t>
      </w:r>
      <w:r>
        <w:rPr>
          <w:rFonts w:ascii="仿宋" w:hAnsi="仿宋" w:eastAsia="仿宋" w:cs="宋体"/>
          <w:color w:val="000000"/>
        </w:rPr>
        <w:t xml:space="preserve">日期：     年     月    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19779249">
    <w:nsid w:val="608BDEB1"/>
    <w:multiLevelType w:val="singleLevel"/>
    <w:tmpl w:val="608BDEB1"/>
    <w:lvl w:ilvl="0" w:tentative="1">
      <w:start w:val="1"/>
      <w:numFmt w:val="decimal"/>
      <w:suff w:val="nothing"/>
      <w:lvlText w:val="%1."/>
      <w:lvlJc w:val="left"/>
    </w:lvl>
  </w:abstractNum>
  <w:num w:numId="1">
    <w:abstractNumId w:val="1619779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trackRevisions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161B5"/>
    <w:rsid w:val="00021827"/>
    <w:rsid w:val="00025F33"/>
    <w:rsid w:val="000431D6"/>
    <w:rsid w:val="000A088E"/>
    <w:rsid w:val="000F06E2"/>
    <w:rsid w:val="00103712"/>
    <w:rsid w:val="00133FA8"/>
    <w:rsid w:val="0013677C"/>
    <w:rsid w:val="00165B63"/>
    <w:rsid w:val="0017498E"/>
    <w:rsid w:val="002318DF"/>
    <w:rsid w:val="00257999"/>
    <w:rsid w:val="002960B6"/>
    <w:rsid w:val="0033431D"/>
    <w:rsid w:val="00380E25"/>
    <w:rsid w:val="00383192"/>
    <w:rsid w:val="003C19A7"/>
    <w:rsid w:val="003D0255"/>
    <w:rsid w:val="00400CDC"/>
    <w:rsid w:val="00444D0A"/>
    <w:rsid w:val="00482583"/>
    <w:rsid w:val="004A2CEA"/>
    <w:rsid w:val="004B3C7D"/>
    <w:rsid w:val="005902F0"/>
    <w:rsid w:val="005E4F8D"/>
    <w:rsid w:val="006030F8"/>
    <w:rsid w:val="006309B4"/>
    <w:rsid w:val="0064430D"/>
    <w:rsid w:val="00661DAE"/>
    <w:rsid w:val="00697279"/>
    <w:rsid w:val="006D1929"/>
    <w:rsid w:val="006D5CC0"/>
    <w:rsid w:val="006E465C"/>
    <w:rsid w:val="006F108E"/>
    <w:rsid w:val="0070057F"/>
    <w:rsid w:val="00712D65"/>
    <w:rsid w:val="0075453D"/>
    <w:rsid w:val="007B16C0"/>
    <w:rsid w:val="007D7E45"/>
    <w:rsid w:val="00826EBE"/>
    <w:rsid w:val="008C7FC7"/>
    <w:rsid w:val="009909B8"/>
    <w:rsid w:val="0099257B"/>
    <w:rsid w:val="009F3291"/>
    <w:rsid w:val="00A10AA6"/>
    <w:rsid w:val="00AB6C5C"/>
    <w:rsid w:val="00AC28C2"/>
    <w:rsid w:val="00AD5773"/>
    <w:rsid w:val="00AF0D6A"/>
    <w:rsid w:val="00AF2148"/>
    <w:rsid w:val="00B13FB3"/>
    <w:rsid w:val="00B90CDB"/>
    <w:rsid w:val="00CC6613"/>
    <w:rsid w:val="00D06EC1"/>
    <w:rsid w:val="00D07C3B"/>
    <w:rsid w:val="00D62515"/>
    <w:rsid w:val="00D62EAE"/>
    <w:rsid w:val="00D633D2"/>
    <w:rsid w:val="00D842DC"/>
    <w:rsid w:val="00D92F2F"/>
    <w:rsid w:val="00D96806"/>
    <w:rsid w:val="00DC5F87"/>
    <w:rsid w:val="00DE7DB8"/>
    <w:rsid w:val="00E02F1C"/>
    <w:rsid w:val="00E8067C"/>
    <w:rsid w:val="00ED51B9"/>
    <w:rsid w:val="00ED5CA8"/>
    <w:rsid w:val="00F05127"/>
    <w:rsid w:val="00F67A9C"/>
    <w:rsid w:val="00F9101E"/>
    <w:rsid w:val="00FA03D1"/>
    <w:rsid w:val="00FC0983"/>
    <w:rsid w:val="00FF5911"/>
    <w:rsid w:val="02E40AD0"/>
    <w:rsid w:val="033A4D39"/>
    <w:rsid w:val="04015B92"/>
    <w:rsid w:val="04435A9E"/>
    <w:rsid w:val="054B7EFA"/>
    <w:rsid w:val="05831998"/>
    <w:rsid w:val="05D74C22"/>
    <w:rsid w:val="071938A3"/>
    <w:rsid w:val="07611146"/>
    <w:rsid w:val="07B45D81"/>
    <w:rsid w:val="07C52B3D"/>
    <w:rsid w:val="084726BE"/>
    <w:rsid w:val="088164AB"/>
    <w:rsid w:val="08A87A0E"/>
    <w:rsid w:val="09277EEB"/>
    <w:rsid w:val="096506FA"/>
    <w:rsid w:val="099D15D3"/>
    <w:rsid w:val="0A01440A"/>
    <w:rsid w:val="0A513B0D"/>
    <w:rsid w:val="0AEB0683"/>
    <w:rsid w:val="0D3600BA"/>
    <w:rsid w:val="0EF43DB9"/>
    <w:rsid w:val="0F25223D"/>
    <w:rsid w:val="0F707F91"/>
    <w:rsid w:val="10ED247D"/>
    <w:rsid w:val="110764BF"/>
    <w:rsid w:val="113A6DA1"/>
    <w:rsid w:val="114758B1"/>
    <w:rsid w:val="114C5074"/>
    <w:rsid w:val="12946645"/>
    <w:rsid w:val="13B9670D"/>
    <w:rsid w:val="14484DCB"/>
    <w:rsid w:val="15874EAA"/>
    <w:rsid w:val="15C47445"/>
    <w:rsid w:val="167255CF"/>
    <w:rsid w:val="16840173"/>
    <w:rsid w:val="16FB6F37"/>
    <w:rsid w:val="17650F8C"/>
    <w:rsid w:val="17725288"/>
    <w:rsid w:val="17D76C2B"/>
    <w:rsid w:val="18041AB4"/>
    <w:rsid w:val="19953307"/>
    <w:rsid w:val="19A07D04"/>
    <w:rsid w:val="1B2C6F2C"/>
    <w:rsid w:val="1BA24967"/>
    <w:rsid w:val="1BDE2098"/>
    <w:rsid w:val="1CD714E1"/>
    <w:rsid w:val="1CE252F3"/>
    <w:rsid w:val="1DE516B8"/>
    <w:rsid w:val="1E433C85"/>
    <w:rsid w:val="1ED877DF"/>
    <w:rsid w:val="1F0B3DFE"/>
    <w:rsid w:val="1F5522A7"/>
    <w:rsid w:val="1FD45CE1"/>
    <w:rsid w:val="20A362DA"/>
    <w:rsid w:val="214D162F"/>
    <w:rsid w:val="21C173F0"/>
    <w:rsid w:val="2350568B"/>
    <w:rsid w:val="237F35E5"/>
    <w:rsid w:val="2467066D"/>
    <w:rsid w:val="260C731E"/>
    <w:rsid w:val="287A5D0E"/>
    <w:rsid w:val="28AC3F1A"/>
    <w:rsid w:val="28D30187"/>
    <w:rsid w:val="28E571A8"/>
    <w:rsid w:val="296D4B02"/>
    <w:rsid w:val="2A103412"/>
    <w:rsid w:val="2ACA31B7"/>
    <w:rsid w:val="2C1011CD"/>
    <w:rsid w:val="2C40390A"/>
    <w:rsid w:val="2C9A68FA"/>
    <w:rsid w:val="2CE0271B"/>
    <w:rsid w:val="2D144482"/>
    <w:rsid w:val="2D241337"/>
    <w:rsid w:val="2D753D30"/>
    <w:rsid w:val="2EA972CC"/>
    <w:rsid w:val="2EC31B75"/>
    <w:rsid w:val="31533557"/>
    <w:rsid w:val="31B41A9A"/>
    <w:rsid w:val="31C74937"/>
    <w:rsid w:val="31F02E84"/>
    <w:rsid w:val="326170B4"/>
    <w:rsid w:val="32FF7EB7"/>
    <w:rsid w:val="34605A84"/>
    <w:rsid w:val="346C230B"/>
    <w:rsid w:val="35034F52"/>
    <w:rsid w:val="352C602C"/>
    <w:rsid w:val="35B16527"/>
    <w:rsid w:val="36B76A85"/>
    <w:rsid w:val="36C037D7"/>
    <w:rsid w:val="376879F0"/>
    <w:rsid w:val="37EC4B4C"/>
    <w:rsid w:val="387B665C"/>
    <w:rsid w:val="39690814"/>
    <w:rsid w:val="39B76C90"/>
    <w:rsid w:val="39C37A55"/>
    <w:rsid w:val="39C53B44"/>
    <w:rsid w:val="3A35598B"/>
    <w:rsid w:val="3A595F4B"/>
    <w:rsid w:val="3AA85CCA"/>
    <w:rsid w:val="3C7826C2"/>
    <w:rsid w:val="3D4D399F"/>
    <w:rsid w:val="3D587C71"/>
    <w:rsid w:val="3DFF3A1A"/>
    <w:rsid w:val="3F8907F6"/>
    <w:rsid w:val="3F8B7D7F"/>
    <w:rsid w:val="41012626"/>
    <w:rsid w:val="417575F2"/>
    <w:rsid w:val="42E142C5"/>
    <w:rsid w:val="43A6228A"/>
    <w:rsid w:val="4431076F"/>
    <w:rsid w:val="4524487F"/>
    <w:rsid w:val="45F63FC6"/>
    <w:rsid w:val="461B1964"/>
    <w:rsid w:val="466B6F06"/>
    <w:rsid w:val="476049FD"/>
    <w:rsid w:val="493C2E02"/>
    <w:rsid w:val="498C1FB1"/>
    <w:rsid w:val="4A255416"/>
    <w:rsid w:val="4A937164"/>
    <w:rsid w:val="4A9750EA"/>
    <w:rsid w:val="4AA40703"/>
    <w:rsid w:val="4AF90460"/>
    <w:rsid w:val="4B1D70C8"/>
    <w:rsid w:val="4BB86F47"/>
    <w:rsid w:val="4C5213D7"/>
    <w:rsid w:val="4F0A3E3B"/>
    <w:rsid w:val="4F8F2265"/>
    <w:rsid w:val="500C5A60"/>
    <w:rsid w:val="50461117"/>
    <w:rsid w:val="509A5F14"/>
    <w:rsid w:val="51373369"/>
    <w:rsid w:val="514B5ABB"/>
    <w:rsid w:val="51954E8A"/>
    <w:rsid w:val="519B5496"/>
    <w:rsid w:val="52121F84"/>
    <w:rsid w:val="52B20439"/>
    <w:rsid w:val="532B43A6"/>
    <w:rsid w:val="53735224"/>
    <w:rsid w:val="54533E5C"/>
    <w:rsid w:val="54B9651A"/>
    <w:rsid w:val="54F9389F"/>
    <w:rsid w:val="55643FAD"/>
    <w:rsid w:val="55EF2193"/>
    <w:rsid w:val="560165A7"/>
    <w:rsid w:val="5646747A"/>
    <w:rsid w:val="57372CB8"/>
    <w:rsid w:val="573B502A"/>
    <w:rsid w:val="584667E1"/>
    <w:rsid w:val="58E24461"/>
    <w:rsid w:val="591D4E77"/>
    <w:rsid w:val="5A41650D"/>
    <w:rsid w:val="5A7852B1"/>
    <w:rsid w:val="5CDB0E25"/>
    <w:rsid w:val="5E3B759B"/>
    <w:rsid w:val="5F0310B7"/>
    <w:rsid w:val="60842068"/>
    <w:rsid w:val="60AA1E1A"/>
    <w:rsid w:val="612620F2"/>
    <w:rsid w:val="627D62F6"/>
    <w:rsid w:val="632E32D8"/>
    <w:rsid w:val="63554C8E"/>
    <w:rsid w:val="63A13700"/>
    <w:rsid w:val="63DA03E2"/>
    <w:rsid w:val="64055EC3"/>
    <w:rsid w:val="64541B77"/>
    <w:rsid w:val="64693366"/>
    <w:rsid w:val="64E9282A"/>
    <w:rsid w:val="656935C1"/>
    <w:rsid w:val="66DC24A5"/>
    <w:rsid w:val="66DF3B52"/>
    <w:rsid w:val="672963E0"/>
    <w:rsid w:val="673E4A64"/>
    <w:rsid w:val="675E5725"/>
    <w:rsid w:val="68191A65"/>
    <w:rsid w:val="6BE10F7C"/>
    <w:rsid w:val="6D2E7D50"/>
    <w:rsid w:val="6DE0162F"/>
    <w:rsid w:val="6DFA3383"/>
    <w:rsid w:val="6E254EA7"/>
    <w:rsid w:val="6EBB30B7"/>
    <w:rsid w:val="709573C6"/>
    <w:rsid w:val="709E2354"/>
    <w:rsid w:val="70E70772"/>
    <w:rsid w:val="71597204"/>
    <w:rsid w:val="719027A5"/>
    <w:rsid w:val="71C9496E"/>
    <w:rsid w:val="71EE76F7"/>
    <w:rsid w:val="725F0CAE"/>
    <w:rsid w:val="72981180"/>
    <w:rsid w:val="74062834"/>
    <w:rsid w:val="74136087"/>
    <w:rsid w:val="74A805D6"/>
    <w:rsid w:val="74A870B6"/>
    <w:rsid w:val="74CC4900"/>
    <w:rsid w:val="754F1383"/>
    <w:rsid w:val="76661B90"/>
    <w:rsid w:val="78FB1E09"/>
    <w:rsid w:val="79BB4445"/>
    <w:rsid w:val="79EF28EF"/>
    <w:rsid w:val="7AB968E7"/>
    <w:rsid w:val="7AC65BFC"/>
    <w:rsid w:val="7B2F3DDD"/>
    <w:rsid w:val="7B4B41CD"/>
    <w:rsid w:val="7E900B27"/>
    <w:rsid w:val="7EB61058"/>
    <w:rsid w:val="7F69119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kern w:val="2"/>
      <w:sz w:val="21"/>
      <w:szCs w:val="24"/>
      <w:lang w:val="en-US" w:eastAsia="zh-CN" w:bidi="ar-SA"/>
    </w:rPr>
  </w:style>
  <w:style w:type="character" w:default="1" w:styleId="8">
    <w:name w:val="Default Paragraph Font"/>
    <w:semiHidden/>
    <w:uiPriority w:val="0"/>
  </w:style>
  <w:style w:type="table" w:default="1" w:styleId="10">
    <w:name w:val="Normal Table"/>
    <w:semiHidden/>
    <w:uiPriority w:val="0"/>
    <w:tblPr>
      <w:tblStyle w:val="10"/>
      <w:tblLayout w:type="fixed"/>
      <w:tblCellMar>
        <w:top w:w="0" w:type="dxa"/>
        <w:left w:w="108" w:type="dxa"/>
        <w:bottom w:w="0" w:type="dxa"/>
        <w:right w:w="108" w:type="dxa"/>
      </w:tblCellMar>
    </w:tblPr>
    <w:tcPr>
      <w:textDirection w:val="lrTb"/>
    </w:tcPr>
  </w:style>
  <w:style w:type="paragraph" w:styleId="2">
    <w:name w:val="annotation subject"/>
    <w:basedOn w:val="3"/>
    <w:next w:val="3"/>
    <w:link w:val="13"/>
    <w:uiPriority w:val="0"/>
    <w:rPr>
      <w:b/>
      <w:bCs/>
    </w:rPr>
  </w:style>
  <w:style w:type="paragraph" w:styleId="3">
    <w:name w:val="annotation text"/>
    <w:basedOn w:val="1"/>
    <w:link w:val="12"/>
    <w:uiPriority w:val="0"/>
    <w:pPr>
      <w:jc w:val="left"/>
    </w:pPr>
  </w:style>
  <w:style w:type="paragraph" w:styleId="4">
    <w:name w:val="Body Text Indent"/>
    <w:basedOn w:val="1"/>
    <w:unhideWhenUsed/>
    <w:uiPriority w:val="0"/>
    <w:pPr>
      <w:ind w:firstLine="630"/>
    </w:pPr>
    <w:rPr>
      <w:kern w:val="0"/>
      <w:sz w:val="24"/>
    </w:r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20"/>
    </w:rPr>
  </w:style>
  <w:style w:type="character" w:styleId="9">
    <w:name w:val="annotation reference"/>
    <w:uiPriority w:val="0"/>
    <w:rPr>
      <w:sz w:val="21"/>
      <w:szCs w:val="21"/>
    </w:rPr>
  </w:style>
  <w:style w:type="paragraph" w:customStyle="1" w:styleId="11">
    <w:name w:val="Default"/>
    <w:uiPriority w:val="0"/>
    <w:pPr>
      <w:widowControl w:val="0"/>
      <w:autoSpaceDE w:val="0"/>
      <w:autoSpaceDN w:val="0"/>
      <w:adjustRightInd w:val="0"/>
    </w:pPr>
    <w:rPr>
      <w:rFonts w:ascii="宋体" w:cs="宋体"/>
      <w:color w:val="000000"/>
      <w:sz w:val="24"/>
      <w:szCs w:val="24"/>
      <w:lang w:val="en-US" w:eastAsia="zh-CN" w:bidi="ar-SA"/>
    </w:rPr>
  </w:style>
  <w:style w:type="character" w:customStyle="1" w:styleId="12">
    <w:name w:val="批注文字 Char"/>
    <w:link w:val="3"/>
    <w:uiPriority w:val="0"/>
    <w:rPr>
      <w:kern w:val="2"/>
      <w:sz w:val="21"/>
      <w:szCs w:val="24"/>
    </w:rPr>
  </w:style>
  <w:style w:type="character" w:customStyle="1" w:styleId="13">
    <w:name w:val="批注主题 Char"/>
    <w:link w:val="2"/>
    <w:uiPriority w:val="0"/>
    <w:rPr>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12</Pages>
  <Words>1974</Words>
  <Characters>11256</Characters>
  <Lines>93</Lines>
  <Paragraphs>26</Paragraphs>
  <ScaleCrop>false</ScaleCrop>
  <LinksUpToDate>false</LinksUpToDate>
  <CharactersWithSpaces>13204</CharactersWithSpaces>
  <Application>WPS Office 专业版_9.1.0.5026_F1E327BC-269C-435d-A152-05C5408002CA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2020-10-29T07:57:00Z</dcterms:created>
  <dc:creator>ylh</dc:creator>
  <cp:lastModifiedBy>RORO</cp:lastModifiedBy>
  <cp:lastPrinted>2021-07-21T07:06:00Z</cp:lastPrinted>
  <dcterms:modified xsi:type="dcterms:W3CDTF">2022-05-06T07:18:03Z</dcterms:modified>
  <dc:title>华夏理财混合偏债型封闭式</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