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adjustRightInd w:val="0"/>
        <w:snapToGrid w:val="0"/>
        <w:spacing w:line="400" w:lineRule="exact"/>
        <w:ind w:firstLine="0"/>
        <w:jc w:val="center"/>
        <w:rPr>
          <w:rFonts w:eastAsia="黑体"/>
          <w:bCs/>
          <w:kern w:val="2"/>
          <w:sz w:val="36"/>
          <w:szCs w:val="36"/>
        </w:rPr>
      </w:pPr>
      <w:r>
        <w:rPr>
          <w:rFonts w:hint="eastAsia" w:eastAsia="黑体"/>
          <w:bCs/>
          <w:kern w:val="2"/>
          <w:sz w:val="36"/>
          <w:szCs w:val="36"/>
        </w:rPr>
        <w:t>华夏理财现金管理类理财产品1号说明书</w:t>
      </w:r>
    </w:p>
    <w:tbl>
      <w:tblPr>
        <w:tblStyle w:val="12"/>
        <w:tblpPr w:leftFromText="180" w:rightFromText="180" w:vertAnchor="page" w:horzAnchor="page" w:tblpX="1867" w:tblpY="2343"/>
        <w:tblW w:w="859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请详细阅读本产品说明书第六部分风险揭示内容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理财产品的资金投资方向、风险类型及预</w:t>
            </w:r>
            <w:r>
              <w:rPr>
                <w:rFonts w:hint="eastAsia" w:ascii="黑体" w:hAnsi="黑体" w:eastAsia="黑体"/>
                <w:b/>
                <w:sz w:val="28"/>
                <w:szCs w:val="28"/>
                <w:u w:val="single"/>
              </w:rPr>
              <w:t>计</w:t>
            </w:r>
            <w:r>
              <w:rPr>
                <w:rFonts w:ascii="黑体" w:hAnsi="黑体" w:eastAsia="黑体"/>
                <w:b/>
                <w:sz w:val="28"/>
                <w:szCs w:val="28"/>
                <w:u w:val="single"/>
              </w:rPr>
              <w:t>收益等基本情况，在慎重考虑后自行决定购买与自身风险承受能力和资产管理需求匹配的理财产品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7"/>
        <w:adjustRightInd w:val="0"/>
        <w:snapToGrid w:val="0"/>
        <w:spacing w:line="400" w:lineRule="exact"/>
        <w:ind w:firstLine="0"/>
        <w:jc w:val="center"/>
        <w:rPr>
          <w:rFonts w:eastAsia="黑体"/>
          <w:bCs/>
          <w:kern w:val="2"/>
          <w:sz w:val="36"/>
          <w:szCs w:val="36"/>
        </w:rPr>
      </w:pPr>
    </w:p>
    <w:p>
      <w:pPr>
        <w:pStyle w:val="7"/>
        <w:adjustRightInd w:val="0"/>
        <w:snapToGrid w:val="0"/>
        <w:spacing w:line="400" w:lineRule="exact"/>
        <w:ind w:firstLine="0"/>
        <w:jc w:val="center"/>
        <w:rPr>
          <w:rFonts w:eastAsia="黑体"/>
          <w:bCs/>
          <w:kern w:val="2"/>
          <w:sz w:val="36"/>
          <w:szCs w:val="36"/>
        </w:rPr>
      </w:pP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2"/>
        <w:tblW w:w="9134" w:type="dxa"/>
        <w:jc w:val="center"/>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
                <w:bCs/>
                <w:szCs w:val="21"/>
              </w:rPr>
            </w:pPr>
            <w:r>
              <w:rPr>
                <w:rFonts w:hint="eastAsia" w:ascii="仿宋" w:hAnsi="仿宋" w:eastAsia="仿宋"/>
                <w:bCs/>
                <w:szCs w:val="21"/>
              </w:rPr>
              <w:t>华夏理财现金管理类理财产品1号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211998700101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销售代码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A份额：211998700101A</w:t>
            </w:r>
          </w:p>
          <w:p>
            <w:pPr>
              <w:adjustRightInd w:val="0"/>
              <w:snapToGrid w:val="0"/>
              <w:spacing w:line="300" w:lineRule="exact"/>
              <w:jc w:val="center"/>
              <w:rPr>
                <w:rFonts w:ascii="仿宋" w:hAnsi="仿宋" w:eastAsia="仿宋"/>
                <w:bCs/>
                <w:szCs w:val="21"/>
              </w:rPr>
            </w:pPr>
            <w:r>
              <w:rPr>
                <w:rFonts w:hint="eastAsia" w:ascii="仿宋" w:hAnsi="仿宋" w:eastAsia="仿宋"/>
                <w:bCs/>
                <w:szCs w:val="21"/>
              </w:rPr>
              <w:t>B份额：211998700101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Z7003921000233</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产品管理人</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固定收益类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 xml:space="preserve"> PR1级（低风险）</w:t>
            </w:r>
            <w:r>
              <w:rPr>
                <w:rFonts w:ascii="仿宋" w:hAnsi="仿宋" w:eastAsia="仿宋"/>
                <w:bCs/>
                <w:szCs w:val="21"/>
              </w:rPr>
              <w:t xml:space="preserve"> 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如与华夏理财产品风险评级结果不一致，应当采用对应较高风险等级的评级结果</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w:t>
            </w:r>
            <w:r>
              <w:rPr>
                <w:rFonts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rPr>
              <w:t xml:space="preserve"> </w:t>
            </w:r>
            <w:r>
              <w:rPr>
                <w:rFonts w:hint="eastAsia" w:ascii="仿宋" w:hAnsi="仿宋" w:eastAsia="仿宋"/>
                <w:bCs/>
                <w:color w:val="000000"/>
                <w:szCs w:val="21"/>
              </w:rPr>
              <w:t>CR1（谨慎型）、CR2（稳健型）、CR3（平衡型）、CR4（进取型）、CR5（激进型）</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p>
          <w:p>
            <w:pPr>
              <w:adjustRightInd w:val="0"/>
              <w:snapToGrid w:val="0"/>
              <w:spacing w:line="240" w:lineRule="atLeast"/>
              <w:ind w:firstLine="422" w:firstLineChars="200"/>
              <w:rPr>
                <w:rFonts w:ascii="仿宋" w:hAnsi="仿宋" w:eastAsia="仿宋"/>
                <w:bCs/>
                <w:color w:val="000000"/>
                <w:szCs w:val="21"/>
              </w:rPr>
            </w:pP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业绩比较基准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ascii="仿宋" w:hAnsi="仿宋" w:eastAsia="仿宋"/>
                <w:bCs/>
                <w:color w:val="000000"/>
                <w:szCs w:val="21"/>
              </w:rPr>
            </w:pPr>
            <w:r>
              <w:rPr>
                <w:rFonts w:hint="eastAsia" w:ascii="仿宋" w:hAnsi="仿宋" w:eastAsia="仿宋"/>
                <w:b/>
                <w:bCs/>
                <w:szCs w:val="21"/>
              </w:rPr>
              <w:t>本理财产品无业绩比较基准。</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2.本业绩比较基准不构成华夏理财/代销机构对本理财产品的任何收益承诺。</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03月17</w:t>
            </w:r>
            <w:r>
              <w:rPr>
                <w:rFonts w:ascii="仿宋" w:hAnsi="仿宋" w:eastAsia="仿宋"/>
                <w:bCs/>
                <w:szCs w:val="21"/>
              </w:rPr>
              <w:t>日－</w:t>
            </w: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w:t>
            </w:r>
            <w:r>
              <w:rPr>
                <w:rFonts w:ascii="仿宋" w:hAnsi="仿宋" w:eastAsia="仿宋"/>
                <w:bCs/>
                <w:szCs w:val="21"/>
              </w:rPr>
              <w:t>月</w:t>
            </w:r>
            <w:r>
              <w:rPr>
                <w:rFonts w:hint="eastAsia" w:ascii="仿宋" w:hAnsi="仿宋" w:eastAsia="仿宋"/>
                <w:bCs/>
                <w:szCs w:val="21"/>
              </w:rPr>
              <w:t>17日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w:t>
            </w:r>
            <w:r>
              <w:rPr>
                <w:rFonts w:ascii="仿宋" w:hAnsi="仿宋" w:eastAsia="仿宋"/>
                <w:bCs/>
                <w:szCs w:val="21"/>
              </w:rPr>
              <w:t>月</w:t>
            </w:r>
            <w:r>
              <w:rPr>
                <w:rFonts w:hint="eastAsia" w:ascii="仿宋" w:hAnsi="仿宋" w:eastAsia="仿宋"/>
                <w:bCs/>
                <w:szCs w:val="21"/>
              </w:rPr>
              <w:t>18</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
                <w:bCs/>
                <w:szCs w:val="21"/>
              </w:rPr>
            </w:pPr>
            <w:r>
              <w:rPr>
                <w:rFonts w:hint="eastAsia" w:ascii="仿宋" w:hAnsi="仿宋" w:eastAsia="仿宋"/>
                <w:bCs/>
                <w:szCs w:val="21"/>
              </w:rPr>
              <w:t>本理财产品不设置封闭期。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cs="仿宋"/>
                <w:bCs/>
                <w:szCs w:val="21"/>
              </w:rPr>
              <w:t>发行规模下限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无</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本产品说明书约定的信息披露渠道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如代销机构规定与本规则不一致，则以各代销机构规定为准，但不得低于本追加金额。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ascii="仿宋" w:hAnsi="仿宋" w:eastAsia="仿宋"/>
                <w:bCs/>
                <w:szCs w:val="21"/>
              </w:rPr>
              <w:t>理财账户</w:t>
            </w:r>
            <w:r>
              <w:rPr>
                <w:rFonts w:hint="eastAsia" w:ascii="仿宋" w:hAnsi="仿宋" w:eastAsia="仿宋"/>
                <w:bCs/>
                <w:color w:val="000000"/>
                <w:szCs w:val="21"/>
              </w:rPr>
              <w:t>最高持有限额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最高持有限额要求：单一投资者持有本产品份额数不得超过</w:t>
            </w:r>
            <w:r>
              <w:rPr>
                <w:rFonts w:ascii="仿宋" w:hAnsi="仿宋" w:eastAsia="仿宋"/>
                <w:bCs/>
                <w:szCs w:val="21"/>
              </w:rPr>
              <w:t>20</w:t>
            </w:r>
            <w:r>
              <w:rPr>
                <w:rFonts w:hint="eastAsia" w:ascii="仿宋" w:hAnsi="仿宋" w:eastAsia="仿宋"/>
                <w:bCs/>
                <w:szCs w:val="21"/>
              </w:rPr>
              <w:t>亿，</w:t>
            </w:r>
            <w:r>
              <w:rPr>
                <w:rFonts w:ascii="仿宋" w:hAnsi="仿宋" w:eastAsia="仿宋"/>
                <w:bCs/>
                <w:szCs w:val="21"/>
              </w:rPr>
              <w:t>并不得超过</w:t>
            </w:r>
            <w:r>
              <w:rPr>
                <w:rFonts w:hint="eastAsia" w:ascii="仿宋" w:hAnsi="仿宋" w:eastAsia="仿宋"/>
                <w:bCs/>
                <w:szCs w:val="21"/>
              </w:rPr>
              <w:t>本产品份额总数的 50%。</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投资者购买理财产品的金额超过理财账户最高持有限额时，超过的部分管理人确认失败。</w:t>
            </w:r>
            <w:r>
              <w:rPr>
                <w:rFonts w:hint="eastAsia" w:ascii="仿宋" w:hAnsi="仿宋" w:eastAsia="仿宋"/>
                <w:b/>
                <w:szCs w:val="21"/>
              </w:rPr>
              <w:t>投资者同一开放日提交申购、赎回交易，管理人先确认申购交易，并根据申购金额判断是否超过理财账户最高持有限额，可能存在日末投资者的剩余本金小于最高持有限额，但当日申购交易全部或部分失败的情况</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如代销机构规定与本规则不一致的，则以各代销机构规定为准，但不得高于最高持有限额。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份额净值为提取管理费、托管费、销售手续费等相关费用后的理财产品份额净值，投资者按该份额净值进行申购、赎回和到期/终止时的分配。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采用1.00元固定份额净值交易方式，自产品成立日起每个开放日将实现的产品净收益（或净损失）分配给理财产品持有人，并将该部分收益（或损失）按日结转到客户理财账户，使产品份额净值始终保持1.00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认购份额=认购金额/1元，认购份额保留到小数点后2位，小数点后第3位舍去。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u w:val="single"/>
              </w:rPr>
            </w:pPr>
            <w:r>
              <w:rPr>
                <w:rFonts w:ascii="仿宋" w:hAnsi="仿宋" w:eastAsia="仿宋"/>
                <w:bCs/>
                <w:szCs w:val="21"/>
              </w:rPr>
              <w:t>申购份额＝申购金额/</w:t>
            </w:r>
            <w:r>
              <w:rPr>
                <w:rFonts w:hint="eastAsia" w:ascii="仿宋" w:hAnsi="仿宋" w:eastAsia="仿宋"/>
                <w:bCs/>
                <w:szCs w:val="21"/>
              </w:rPr>
              <w:t>1元，申购份额保留到小数点后2位，小数点后第3位舍去。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工作日/</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交易日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指上海证券交易所和深圳证券交易所的交易日，且同时为银行对外办理一般对公业务的工作日。不含1月1日。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556"/>
              </w:tabs>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开放日为产品封闭期后每个工作日，开放日如遇非工作日则顺延至下一个工作日。</w:t>
            </w:r>
          </w:p>
          <w:tbl>
            <w:tblPr>
              <w:tblStyle w:val="12"/>
              <w:tblW w:w="6771" w:type="dxa"/>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交易类型</w:t>
                  </w:r>
                </w:p>
              </w:tc>
              <w:tc>
                <w:tcPr>
                  <w:tcW w:w="5406"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申购</w:t>
                  </w:r>
                </w:p>
              </w:tc>
              <w:tc>
                <w:tcPr>
                  <w:tcW w:w="5406" w:type="dxa"/>
                </w:tcPr>
                <w:p>
                  <w:pPr>
                    <w:adjustRightInd w:val="0"/>
                    <w:snapToGrid w:val="0"/>
                    <w:spacing w:line="240" w:lineRule="atLeast"/>
                    <w:ind w:firstLine="420" w:firstLineChars="200"/>
                    <w:rPr>
                      <w:rFonts w:ascii="仿宋" w:hAnsi="仿宋" w:eastAsia="仿宋"/>
                    </w:rPr>
                  </w:pPr>
                  <w:r>
                    <w:rPr>
                      <w:rFonts w:hint="eastAsia" w:ascii="仿宋" w:hAnsi="仿宋" w:eastAsia="仿宋"/>
                      <w:bCs/>
                      <w:szCs w:val="21"/>
                    </w:rPr>
                    <w:t>通过华夏银行/华夏理财购买的，每个开放日的开放时间为</w:t>
                  </w:r>
                  <w:r>
                    <w:rPr>
                      <w:rFonts w:hint="eastAsia" w:ascii="仿宋" w:hAnsi="仿宋" w:eastAsia="仿宋"/>
                      <w:bCs/>
                      <w:szCs w:val="21"/>
                      <w:u w:val="single"/>
                    </w:rPr>
                    <w:t>00:00-15:30；</w:t>
                  </w:r>
                  <w:r>
                    <w:rPr>
                      <w:rFonts w:hint="eastAsia" w:ascii="仿宋" w:hAnsi="仿宋" w:eastAsia="仿宋"/>
                    </w:rPr>
                    <w:t>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firstLine="420" w:firstLineChars="200"/>
                    <w:rPr>
                      <w:rFonts w:ascii="仿宋" w:hAnsi="仿宋" w:eastAsia="仿宋"/>
                      <w:bCs/>
                      <w:szCs w:val="21"/>
                      <w:u w:val="single"/>
                    </w:rPr>
                  </w:pPr>
                  <w:r>
                    <w:rPr>
                      <w:rFonts w:hint="eastAsia" w:ascii="仿宋" w:hAnsi="仿宋" w:eastAsia="仿宋"/>
                    </w:rPr>
                    <w:t>投资者可于开放日T日的开放时间内发起申购，T日非开放时间提交的申购申请等同于下一开放日提交的申购申请。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赎回</w:t>
                  </w:r>
                </w:p>
              </w:tc>
              <w:tc>
                <w:tcPr>
                  <w:tcW w:w="5406" w:type="dxa"/>
                </w:tcPr>
                <w:p>
                  <w:pPr>
                    <w:adjustRightInd w:val="0"/>
                    <w:snapToGrid w:val="0"/>
                    <w:spacing w:line="240" w:lineRule="atLeast"/>
                    <w:ind w:firstLine="420" w:firstLineChars="200"/>
                    <w:rPr>
                      <w:rFonts w:ascii="仿宋" w:hAnsi="仿宋" w:eastAsia="仿宋"/>
                    </w:rPr>
                  </w:pPr>
                  <w:r>
                    <w:rPr>
                      <w:rFonts w:hint="eastAsia" w:ascii="仿宋" w:hAnsi="仿宋" w:eastAsia="仿宋"/>
                      <w:bCs/>
                      <w:szCs w:val="21"/>
                    </w:rPr>
                    <w:t>通过华夏银行/华夏理财购买的，每个开放日的开放时间为</w:t>
                  </w:r>
                  <w:r>
                    <w:rPr>
                      <w:rFonts w:hint="eastAsia" w:ascii="仿宋" w:hAnsi="仿宋" w:eastAsia="仿宋"/>
                      <w:bCs/>
                      <w:szCs w:val="21"/>
                      <w:u w:val="single"/>
                    </w:rPr>
                    <w:t>00:00-15:30；</w:t>
                  </w:r>
                  <w:r>
                    <w:rPr>
                      <w:rFonts w:hint="eastAsia" w:ascii="仿宋" w:hAnsi="仿宋" w:eastAsia="仿宋"/>
                    </w:rPr>
                    <w:t>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投资者可于开放日的开放时间内发起普通赎回，T日非开放时间提交的普通赎回申请等同于下一开放日提交的普通赎回申请。</w:t>
                  </w:r>
                </w:p>
              </w:tc>
            </w:tr>
          </w:tbl>
          <w:p>
            <w:pPr>
              <w:adjustRightInd w:val="0"/>
              <w:snapToGrid w:val="0"/>
              <w:spacing w:line="240" w:lineRule="atLeast"/>
              <w:ind w:right="-44" w:firstLine="422" w:firstLineChars="200"/>
              <w:jc w:val="left"/>
              <w:rPr>
                <w:rFonts w:ascii="仿宋" w:hAnsi="仿宋" w:eastAsia="仿宋"/>
                <w:b/>
                <w:bCs/>
                <w:szCs w:val="21"/>
              </w:rPr>
            </w:pP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华夏理财有权调整按上述规则确定的开放日及开放时间，并在调整之前3个工作日公告。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开放时间申购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；T日非开放时间申购，等同在下一开放日开放时间内提交的申购申请。</w:t>
            </w:r>
            <w:r>
              <w:rPr>
                <w:rFonts w:ascii="仿宋" w:hAnsi="仿宋" w:eastAsia="仿宋"/>
                <w:bCs/>
                <w:szCs w:val="21"/>
              </w:rPr>
              <w:t>T日为开放日。</w:t>
            </w:r>
            <w:r>
              <w:rPr>
                <w:rFonts w:hint="eastAsia" w:ascii="仿宋" w:hAnsi="仿宋" w:eastAsia="仿宋"/>
                <w:bCs/>
                <w:szCs w:val="21"/>
              </w:rPr>
              <w:t>通过华夏理财购买的，按理财产品销售协议的规则扣款；通过华夏银行购买的，</w:t>
            </w:r>
            <w:r>
              <w:rPr>
                <w:rFonts w:ascii="仿宋" w:hAnsi="仿宋" w:eastAsia="仿宋"/>
                <w:bCs/>
                <w:szCs w:val="21"/>
              </w:rPr>
              <w:t>T日</w:t>
            </w:r>
            <w:r>
              <w:rPr>
                <w:rFonts w:hint="eastAsia" w:ascii="仿宋" w:hAnsi="仿宋" w:eastAsia="仿宋"/>
                <w:bCs/>
                <w:szCs w:val="21"/>
              </w:rPr>
              <w:t>扣款；通过其他代销机构购买的，扣款规则以代销机构规定为准。</w:t>
            </w:r>
          </w:p>
          <w:p>
            <w:pPr>
              <w:adjustRightInd w:val="0"/>
              <w:snapToGrid w:val="0"/>
              <w:spacing w:line="240" w:lineRule="atLeast"/>
              <w:ind w:right="-44" w:firstLine="420" w:firstLineChars="200"/>
              <w:jc w:val="left"/>
              <w:rPr>
                <w:rFonts w:ascii="仿宋" w:hAnsi="仿宋" w:eastAsia="仿宋"/>
                <w:bCs/>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赎回确认</w:t>
            </w:r>
            <w:r>
              <w:rPr>
                <w:rFonts w:hint="eastAsia" w:ascii="仿宋" w:hAnsi="仿宋" w:eastAsia="仿宋"/>
                <w:bCs/>
                <w:szCs w:val="21"/>
              </w:rPr>
              <w:t>及资金到账</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开放时间提交普通</w:t>
            </w:r>
            <w:r>
              <w:rPr>
                <w:rFonts w:ascii="仿宋" w:hAnsi="仿宋" w:eastAsia="仿宋"/>
                <w:bCs/>
                <w:szCs w:val="21"/>
              </w:rPr>
              <w:t>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；T日非开放时间提交普通赎回，等同在下一开放日开放时间内提交的赎回申请。</w:t>
            </w:r>
            <w:r>
              <w:rPr>
                <w:rFonts w:ascii="仿宋" w:hAnsi="仿宋" w:eastAsia="仿宋"/>
                <w:bCs/>
                <w:szCs w:val="21"/>
              </w:rPr>
              <w:t>T日为开放日</w:t>
            </w:r>
            <w:r>
              <w:rPr>
                <w:rFonts w:hint="eastAsia"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通过华夏理财提交普通赎回申请的，投资者</w:t>
            </w:r>
            <w:r>
              <w:rPr>
                <w:rFonts w:ascii="仿宋" w:hAnsi="仿宋" w:eastAsia="仿宋"/>
                <w:bCs/>
                <w:szCs w:val="21"/>
              </w:rPr>
              <w:t>赎回资金</w:t>
            </w:r>
            <w:r>
              <w:rPr>
                <w:rFonts w:hint="eastAsia" w:ascii="仿宋" w:hAnsi="仿宋" w:eastAsia="仿宋"/>
                <w:bCs/>
                <w:szCs w:val="21"/>
              </w:rPr>
              <w:t>于T+1日</w:t>
            </w:r>
            <w:r>
              <w:rPr>
                <w:rFonts w:ascii="仿宋" w:hAnsi="仿宋" w:eastAsia="仿宋"/>
                <w:bCs/>
                <w:szCs w:val="21"/>
              </w:rPr>
              <w:t>到账</w:t>
            </w:r>
            <w:r>
              <w:rPr>
                <w:rFonts w:hint="eastAsia" w:ascii="仿宋" w:hAnsi="仿宋" w:eastAsia="仿宋"/>
                <w:bCs/>
                <w:szCs w:val="21"/>
              </w:rPr>
              <w:t>；通过华夏银行提交普通赎回申请的，投资者</w:t>
            </w:r>
            <w:r>
              <w:rPr>
                <w:rFonts w:ascii="仿宋" w:hAnsi="仿宋" w:eastAsia="仿宋"/>
                <w:bCs/>
                <w:szCs w:val="21"/>
              </w:rPr>
              <w:t>赎回资金</w:t>
            </w:r>
            <w:r>
              <w:rPr>
                <w:rFonts w:hint="eastAsia" w:ascii="仿宋" w:hAnsi="仿宋" w:eastAsia="仿宋"/>
                <w:bCs/>
                <w:szCs w:val="21"/>
              </w:rPr>
              <w:t>于T+1日</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color w:val="FF6600"/>
                <w:szCs w:val="21"/>
              </w:rPr>
            </w:pPr>
            <w:r>
              <w:rPr>
                <w:rFonts w:hint="eastAsia" w:ascii="仿宋" w:hAnsi="仿宋" w:eastAsia="仿宋"/>
                <w:bCs/>
                <w:szCs w:val="21"/>
              </w:rPr>
              <w:t>快速赎回相关约定见本说明书“四</w:t>
            </w:r>
            <w:r>
              <w:rPr>
                <w:rFonts w:ascii="仿宋" w:hAnsi="仿宋" w:eastAsia="仿宋"/>
                <w:bCs/>
                <w:szCs w:val="21"/>
              </w:rPr>
              <w:t>、认购</w:t>
            </w:r>
            <w:r>
              <w:rPr>
                <w:rFonts w:hint="eastAsia" w:ascii="仿宋" w:hAnsi="仿宋" w:eastAsia="仿宋"/>
                <w:bCs/>
                <w:szCs w:val="21"/>
              </w:rPr>
              <w:t>、申购、赎回”约定。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420" w:firstLineChars="200"/>
              <w:rPr>
                <w:rFonts w:ascii="仿宋" w:hAnsi="仿宋" w:eastAsia="仿宋"/>
                <w:bCs/>
                <w:szCs w:val="21"/>
                <w:u w:val="single"/>
              </w:rPr>
            </w:pPr>
            <w:r>
              <w:rPr>
                <w:rFonts w:ascii="仿宋" w:hAnsi="仿宋" w:eastAsia="仿宋"/>
                <w:bCs/>
                <w:szCs w:val="21"/>
              </w:rPr>
              <w:t>赎回金额＝赎回份额×</w:t>
            </w:r>
            <w:r>
              <w:rPr>
                <w:rFonts w:hint="eastAsia" w:ascii="仿宋" w:hAnsi="仿宋" w:eastAsia="仿宋"/>
                <w:bCs/>
                <w:szCs w:val="21"/>
              </w:rPr>
              <w:t>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到期/提前终止</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华夏理财将于理财产品到期/终止</w:t>
            </w:r>
            <w:r>
              <w:rPr>
                <w:rFonts w:ascii="仿宋" w:hAnsi="仿宋" w:eastAsia="仿宋"/>
                <w:bCs/>
                <w:szCs w:val="21"/>
              </w:rPr>
              <w:t>日</w:t>
            </w:r>
            <w:r>
              <w:rPr>
                <w:rFonts w:hint="eastAsia" w:ascii="仿宋" w:hAnsi="仿宋" w:eastAsia="仿宋"/>
                <w:bCs/>
                <w:szCs w:val="21"/>
              </w:rPr>
              <w:t>后</w:t>
            </w:r>
            <w:r>
              <w:rPr>
                <w:rFonts w:ascii="仿宋" w:hAnsi="仿宋" w:eastAsia="仿宋"/>
                <w:bCs/>
                <w:szCs w:val="21"/>
              </w:rPr>
              <w:t xml:space="preserve"> 2 </w:t>
            </w:r>
            <w:r>
              <w:rPr>
                <w:rFonts w:hint="eastAsia" w:ascii="仿宋" w:hAnsi="仿宋" w:eastAsia="仿宋"/>
                <w:bCs/>
                <w:szCs w:val="21"/>
              </w:rPr>
              <w:t>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根据实际投资结果向华夏理财客户及代销机构一次性划付理财本金及收益（如有），代销机构客户的理财本金及收益（如有）的具体到账账户、到账日及到账时间以代销机构划付规定为准。</w:t>
            </w:r>
          </w:p>
          <w:p>
            <w:pPr>
              <w:spacing w:line="240" w:lineRule="atLeast"/>
              <w:ind w:firstLine="420" w:firstLineChars="200"/>
              <w:rPr>
                <w:rFonts w:ascii="仿宋" w:hAnsi="仿宋" w:eastAsia="仿宋"/>
                <w:bCs/>
                <w:szCs w:val="21"/>
              </w:rPr>
            </w:pPr>
            <w:r>
              <w:rPr>
                <w:rFonts w:hint="eastAsia" w:ascii="仿宋" w:hAnsi="仿宋" w:eastAsia="仿宋"/>
                <w:bCs/>
                <w:szCs w:val="21"/>
              </w:rPr>
              <w:t>到期/终止日至资金实际到账日之间，客户资金不计</w:t>
            </w:r>
            <w:r>
              <w:rPr>
                <w:rFonts w:hint="eastAsia" w:ascii="仿宋" w:hAnsi="仿宋" w:eastAsia="仿宋" w:cs="宋体"/>
                <w:kern w:val="0"/>
                <w:szCs w:val="21"/>
              </w:rPr>
              <w:t>存款利息及理财收益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巨额赎回</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hint="eastAsia" w:ascii="仿宋" w:hAnsi="仿宋" w:eastAsia="仿宋"/>
                <w:bCs/>
                <w:szCs w:val="21"/>
              </w:rPr>
              <w:t xml:space="preserve"> </w:t>
            </w:r>
            <w:r>
              <w:rPr>
                <w:rFonts w:hint="eastAsia" w:ascii="仿宋" w:hAnsi="仿宋" w:eastAsia="仿宋"/>
                <w:bCs/>
                <w:szCs w:val="21"/>
                <w:u w:val="single"/>
              </w:rPr>
              <w:t xml:space="preserve">10 </w:t>
            </w:r>
            <w:r>
              <w:rPr>
                <w:rFonts w:ascii="仿宋" w:hAnsi="仿宋" w:eastAsia="仿宋"/>
                <w:bCs/>
                <w:szCs w:val="21"/>
              </w:rPr>
              <w:t>%</w:t>
            </w:r>
            <w:r>
              <w:rPr>
                <w:rFonts w:hint="eastAsia" w:ascii="仿宋" w:hAnsi="仿宋" w:eastAsia="仿宋"/>
                <w:bCs/>
                <w:szCs w:val="21"/>
              </w:rPr>
              <w:t xml:space="preserve"> </w:t>
            </w:r>
            <w:r>
              <w:rPr>
                <w:rFonts w:ascii="仿宋" w:hAnsi="仿宋" w:eastAsia="仿宋"/>
                <w:bCs/>
                <w:szCs w:val="21"/>
              </w:rPr>
              <w:t>为巨额赎回</w:t>
            </w:r>
            <w:r>
              <w:rPr>
                <w:rFonts w:hint="eastAsia" w:ascii="仿宋" w:hAnsi="仿宋" w:eastAsia="仿宋"/>
                <w:bCs/>
                <w:szCs w:val="21"/>
              </w:rPr>
              <w:t>。</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hint="eastAsia" w:ascii="仿宋" w:hAnsi="仿宋" w:eastAsia="仿宋"/>
                <w:b/>
                <w:szCs w:val="21"/>
              </w:rPr>
              <w:t>如发生巨额赎回，</w:t>
            </w:r>
            <w:r>
              <w:rPr>
                <w:rFonts w:ascii="仿宋" w:hAnsi="仿宋" w:eastAsia="仿宋"/>
                <w:b/>
                <w:szCs w:val="21"/>
              </w:rPr>
              <w:t>管理人</w:t>
            </w:r>
            <w:r>
              <w:rPr>
                <w:rFonts w:hint="eastAsia" w:ascii="仿宋" w:hAnsi="仿宋" w:eastAsia="仿宋"/>
                <w:b/>
                <w:szCs w:val="21"/>
              </w:rPr>
              <w:t>当日办理的赎回份额不低于前一日终理财产品总份额的10%。</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ascii="仿宋" w:hAnsi="仿宋" w:eastAsia="仿宋"/>
                <w:b/>
                <w:szCs w:val="21"/>
              </w:rPr>
              <w:t>管理人</w:t>
            </w:r>
            <w:r>
              <w:rPr>
                <w:rFonts w:hint="eastAsia" w:ascii="仿宋" w:hAnsi="仿宋" w:eastAsia="仿宋"/>
                <w:b/>
                <w:bCs/>
                <w:szCs w:val="21"/>
              </w:rPr>
              <w:t>有权</w:t>
            </w:r>
            <w:r>
              <w:rPr>
                <w:rFonts w:hint="eastAsia" w:ascii="仿宋" w:hAnsi="仿宋" w:eastAsia="仿宋"/>
                <w:b/>
                <w:szCs w:val="21"/>
              </w:rPr>
              <w:t>对其余的赎回申请</w:t>
            </w:r>
            <w:r>
              <w:rPr>
                <w:rFonts w:hint="eastAsia" w:ascii="仿宋" w:hAnsi="仿宋" w:eastAsia="仿宋"/>
                <w:b/>
                <w:bCs/>
                <w:szCs w:val="21"/>
              </w:rPr>
              <w:t>采取</w:t>
            </w:r>
            <w:r>
              <w:rPr>
                <w:rFonts w:hint="eastAsia" w:ascii="仿宋" w:hAnsi="仿宋" w:eastAsia="仿宋"/>
                <w:b/>
                <w:szCs w:val="21"/>
              </w:rPr>
              <w:t>暂停接受的</w:t>
            </w:r>
            <w:r>
              <w:rPr>
                <w:rFonts w:ascii="仿宋" w:hAnsi="仿宋" w:eastAsia="仿宋"/>
                <w:b/>
                <w:szCs w:val="21"/>
              </w:rPr>
              <w:t>应对措施。</w:t>
            </w:r>
            <w:r>
              <w:rPr>
                <w:rFonts w:hint="eastAsia" w:ascii="仿宋" w:hAnsi="仿宋" w:eastAsia="仿宋"/>
                <w:bCs/>
                <w:szCs w:val="21"/>
              </w:rPr>
              <w:t>连续2个以上开放日发生巨额赎回时，对于已经接受的赎回申请，</w:t>
            </w:r>
            <w:r>
              <w:rPr>
                <w:rFonts w:ascii="仿宋" w:hAnsi="仿宋" w:eastAsia="仿宋"/>
                <w:bCs/>
                <w:szCs w:val="21"/>
              </w:rPr>
              <w:t>管理人</w:t>
            </w:r>
            <w:r>
              <w:rPr>
                <w:rFonts w:hint="eastAsia" w:ascii="仿宋" w:hAnsi="仿宋" w:eastAsia="仿宋"/>
                <w:bCs/>
                <w:szCs w:val="21"/>
              </w:rPr>
              <w:t>可以延缓支付赎回款项，但延缓期限不得超过20个工作日。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投资者可撤销已提交的认购申请（仅可全额撤销），具体规定如下：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认购的，投资者撤销的本金在</w:t>
            </w:r>
            <w:r>
              <w:rPr>
                <w:rFonts w:ascii="仿宋" w:hAnsi="仿宋" w:eastAsia="仿宋"/>
                <w:bCs/>
                <w:szCs w:val="21"/>
                <w:u w:val="single"/>
              </w:rPr>
              <w:t xml:space="preserve"> 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）通过华夏理财认购的</w:t>
            </w:r>
            <w:r>
              <w:rPr>
                <w:rFonts w:ascii="仿宋" w:hAnsi="仿宋" w:eastAsia="仿宋"/>
                <w:bCs/>
                <w:szCs w:val="21"/>
              </w:rPr>
              <w:t>，</w:t>
            </w:r>
            <w:r>
              <w:rPr>
                <w:rFonts w:hint="eastAsia" w:ascii="仿宋" w:hAnsi="仿宋" w:eastAsia="仿宋"/>
                <w:bCs/>
                <w:szCs w:val="21"/>
              </w:rPr>
              <w:t>节假日不能进行撤销。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bCs/>
                <w:szCs w:val="21"/>
              </w:rPr>
              <w:t>节假日不能进行撤销。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通过其他代销机构认购的，撤销规定以代销机构规定为准。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2．开放日申购、普通赎回撤销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投资者可于开放日开放时间内撤销当日已提交的申购、普通赎回申请（仅可全额撤销），具体规定如下：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申购的，投资者撤销的本金在</w:t>
            </w:r>
            <w:r>
              <w:rPr>
                <w:rFonts w:ascii="仿宋" w:hAnsi="仿宋" w:eastAsia="仿宋"/>
                <w:bCs/>
                <w:szCs w:val="21"/>
                <w:u w:val="single"/>
              </w:rPr>
              <w:t xml:space="preserve"> 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）通过华夏理财申购的</w:t>
            </w:r>
            <w:r>
              <w:rPr>
                <w:rFonts w:ascii="仿宋" w:hAnsi="仿宋" w:eastAsia="仿宋"/>
                <w:bCs/>
                <w:szCs w:val="21"/>
              </w:rPr>
              <w:t>，</w:t>
            </w:r>
            <w:r>
              <w:rPr>
                <w:rFonts w:hint="eastAsia" w:ascii="仿宋" w:hAnsi="仿宋" w:eastAsia="仿宋"/>
              </w:rPr>
              <w:t>开放日</w:t>
            </w:r>
            <w:r>
              <w:rPr>
                <w:rFonts w:ascii="仿宋" w:hAnsi="仿宋" w:eastAsia="仿宋"/>
              </w:rPr>
              <w:t>15:30</w:t>
            </w:r>
            <w:r>
              <w:rPr>
                <w:rFonts w:hint="eastAsia" w:ascii="仿宋" w:hAnsi="仿宋" w:eastAsia="仿宋"/>
              </w:rPr>
              <w:t>（含）之后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bCs/>
                <w:szCs w:val="21"/>
              </w:rPr>
              <w:t>开放日15:30（含）之后不能进行撤销。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3．快速</w:t>
            </w:r>
            <w:r>
              <w:rPr>
                <w:rFonts w:ascii="仿宋" w:hAnsi="仿宋" w:eastAsia="仿宋"/>
                <w:bCs/>
                <w:szCs w:val="21"/>
              </w:rPr>
              <w:t>赎回</w:t>
            </w:r>
            <w:r>
              <w:rPr>
                <w:rFonts w:hint="eastAsia" w:ascii="仿宋" w:hAnsi="仿宋" w:eastAsia="仿宋"/>
                <w:bCs/>
                <w:szCs w:val="21"/>
              </w:rPr>
              <w:t>交易不能</w:t>
            </w:r>
            <w:r>
              <w:rPr>
                <w:rFonts w:ascii="仿宋" w:hAnsi="仿宋" w:eastAsia="仿宋"/>
                <w:bCs/>
                <w:szCs w:val="21"/>
              </w:rPr>
              <w:t>撤销</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2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强制赎回费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除银保监会认定的特殊情形外，如发生下述情形之一，管理人将对当日单个投资者申请赎回份额超过产品总份额1%以上的赎回申请征收1%的强制赎回费用：</w:t>
            </w:r>
          </w:p>
          <w:p>
            <w:pPr>
              <w:adjustRightInd w:val="0"/>
              <w:snapToGrid w:val="0"/>
              <w:spacing w:line="240" w:lineRule="atLeast"/>
              <w:ind w:firstLine="420"/>
              <w:rPr>
                <w:rFonts w:ascii="仿宋" w:hAnsi="仿宋" w:eastAsia="仿宋"/>
                <w:bCs/>
                <w:szCs w:val="21"/>
              </w:rPr>
            </w:pPr>
            <w:r>
              <w:rPr>
                <w:rFonts w:ascii="仿宋" w:hAnsi="仿宋" w:eastAsia="仿宋"/>
                <w:bCs/>
                <w:szCs w:val="21"/>
              </w:rPr>
              <w:t>1</w:t>
            </w:r>
            <w:r>
              <w:rPr>
                <w:rFonts w:hint="eastAsia" w:ascii="仿宋" w:hAnsi="仿宋" w:eastAsia="仿宋"/>
                <w:bCs/>
                <w:szCs w:val="21"/>
              </w:rPr>
              <w:t>．发生本产品持有的现金、国债、中央银行票据、政策性金融债券以及5个交易日内到期的其他金融工具占产品资产净值的比例合计低于5%且偏离度为负的情形时（管理人与托管机构协商确认上述做法无益于理财产品利益最大化的情形除外）；</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2．发生本产品前10名投资者的持有份额合计超过产品总份额的50%，且本产品投资组合中现金、国债、中央银行票据、政策性金融债券以及5个交易日内到期的其他金融工具占产品资产净值的比例合计低于10%且偏离度为负的情形时。</w:t>
            </w:r>
          </w:p>
          <w:p>
            <w:pPr>
              <w:adjustRightInd w:val="0"/>
              <w:snapToGrid w:val="0"/>
              <w:spacing w:line="240" w:lineRule="atLeast"/>
              <w:ind w:firstLine="420"/>
              <w:rPr>
                <w:rFonts w:ascii="仿宋" w:hAnsi="仿宋" w:eastAsia="仿宋"/>
                <w:bCs/>
                <w:szCs w:val="21"/>
              </w:rPr>
            </w:pPr>
            <w:r>
              <w:rPr>
                <w:rFonts w:hint="eastAsia" w:ascii="仿宋" w:hAnsi="仿宋" w:eastAsia="仿宋"/>
                <w:b/>
                <w:szCs w:val="21"/>
              </w:rPr>
              <w:t>上述赎回费用全额计入产品财产。</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0.03%/年，以前一日资产净值为基数，每日计提。公式如下：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F=E×【0.03%】</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F为托管费；E为计算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0.30%/年，以前一日资产净值为基数，每日计提。公式如下：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F=E×【0.30%】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F为销售</w:t>
            </w:r>
            <w:r>
              <w:rPr>
                <w:rFonts w:ascii="仿宋" w:hAnsi="仿宋" w:eastAsia="仿宋"/>
                <w:bCs/>
                <w:szCs w:val="21"/>
              </w:rPr>
              <w:t>手续费</w:t>
            </w:r>
            <w:r>
              <w:rPr>
                <w:rFonts w:hint="eastAsia" w:ascii="仿宋" w:hAnsi="仿宋" w:eastAsia="仿宋"/>
                <w:bCs/>
                <w:szCs w:val="21"/>
              </w:rPr>
              <w:t>；E为计算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0.20%/年，以前一日资产净值为基数，每日计提。公式如下：</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F=E×【0.20%】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F为固定管理费；E为计算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w:t>
            </w:r>
            <w:r>
              <w:rPr>
                <w:rFonts w:ascii="仿宋" w:hAnsi="仿宋" w:eastAsia="仿宋"/>
                <w:bCs/>
                <w:szCs w:val="21"/>
              </w:rPr>
              <w:t>不收取超额管理费。</w:t>
            </w:r>
            <w:r>
              <w:rPr>
                <w:rFonts w:hint="eastAsia" w:ascii="仿宋" w:hAnsi="仿宋" w:eastAsia="仿宋"/>
                <w:b/>
                <w:color w:val="000000"/>
                <w:szCs w:val="21"/>
              </w:rPr>
              <w:t>华夏理财有权根据市场</w:t>
            </w:r>
            <w:r>
              <w:rPr>
                <w:rFonts w:hint="eastAsia" w:ascii="仿宋" w:hAnsi="仿宋" w:eastAsia="仿宋"/>
                <w:b/>
                <w:szCs w:val="21"/>
              </w:rPr>
              <w:t>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本产品说明书约定的信息披露渠道</w:t>
            </w:r>
            <w:r>
              <w:rPr>
                <w:rFonts w:hint="eastAsia" w:ascii="仿宋" w:hAnsi="仿宋" w:eastAsia="仿宋"/>
                <w:b/>
                <w:szCs w:val="21"/>
              </w:rPr>
              <w:t>进行公告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每万份理财产品份额已实现收益</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当日每万份理财产品份额已实现收益=当日理财产品份额已实现收益/当日理财产品份额×10</w:t>
            </w:r>
            <w:r>
              <w:rPr>
                <w:rFonts w:ascii="仿宋" w:hAnsi="仿宋" w:eastAsia="仿宋"/>
                <w:bCs/>
                <w:szCs w:val="21"/>
              </w:rPr>
              <w:t>,</w:t>
            </w:r>
            <w:r>
              <w:rPr>
                <w:rFonts w:hint="eastAsia" w:ascii="仿宋" w:hAnsi="仿宋" w:eastAsia="仿宋"/>
                <w:bCs/>
                <w:szCs w:val="21"/>
              </w:rPr>
              <w:t>000，计算结果保留到小数点后4位，小数点后5位以后的部分四舍五入。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七日年化收益率</w:t>
            </w:r>
          </w:p>
        </w:tc>
        <w:tc>
          <w:tcPr>
            <w:tcW w:w="7404" w:type="dxa"/>
            <w:tcBorders>
              <w:top w:val="single" w:color="auto" w:sz="4" w:space="0"/>
              <w:left w:val="single" w:color="auto" w:sz="4" w:space="0"/>
              <w:bottom w:val="single" w:color="auto" w:sz="4" w:space="0"/>
              <w:right w:val="single" w:color="auto" w:sz="4" w:space="0"/>
            </w:tcBorders>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本理财产品最近七日（含节假日）收益率所折算的产品年收益率</w:t>
            </w:r>
          </w:p>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不足七日时，则采取实际日收益率折算为年化收益率的方式计算。</w:t>
            </w:r>
          </w:p>
          <w:p>
            <w:pPr>
              <w:pStyle w:val="6"/>
              <w:spacing w:line="240" w:lineRule="atLeast"/>
              <w:ind w:firstLine="420" w:firstLineChars="200"/>
              <w:rPr>
                <w:rFonts w:ascii="仿宋" w:hAnsi="仿宋" w:eastAsia="仿宋"/>
                <w:szCs w:val="21"/>
              </w:rPr>
            </w:pPr>
            <w:r>
              <w:rPr>
                <w:rFonts w:hint="eastAsia" w:ascii="仿宋" w:hAnsi="仿宋" w:eastAsia="仿宋"/>
                <w:szCs w:val="21"/>
              </w:rPr>
              <w:t xml:space="preserve">七日年化收益率（%）= </w:t>
            </w:r>
            <w:r>
              <w:rPr>
                <w:rFonts w:ascii="仿宋" w:hAnsi="仿宋" w:eastAsia="仿宋"/>
                <w:szCs w:val="21"/>
              </w:rPr>
              <w:pict>
                <v:shape id="_x0000_i1025" o:spt="75" type="#_x0000_t75" style="height:25.35pt;width:148pt;" filled="f" o:preferrelative="t" stroked="f" coordsize="21600,21600">
                  <v:path/>
                  <v:fill on="f" focussize="0,0"/>
                  <v:stroke on="f" joinstyle="miter"/>
                  <v:imagedata r:id="rId5" chromakey="#FFFFFF" o:title=""/>
                  <o:lock v:ext="edit" aspectratio="t"/>
                  <w10:wrap type="none"/>
                  <w10:anchorlock/>
                </v:shape>
              </w:pict>
            </w:r>
            <w:r>
              <w:rPr>
                <w:rFonts w:hint="eastAsia" w:ascii="仿宋" w:hAnsi="仿宋" w:eastAsia="仿宋"/>
                <w:szCs w:val="21"/>
              </w:rPr>
              <w:t xml:space="preserve"> </w:t>
            </w:r>
          </w:p>
          <w:p>
            <w:pPr>
              <w:adjustRightInd w:val="0"/>
              <w:snapToGrid w:val="0"/>
              <w:spacing w:line="276" w:lineRule="auto"/>
              <w:ind w:firstLine="420" w:firstLineChars="200"/>
              <w:jc w:val="left"/>
            </w:pPr>
            <w:r>
              <w:rPr>
                <w:rFonts w:hint="eastAsia" w:ascii="仿宋" w:hAnsi="仿宋" w:eastAsia="仿宋"/>
                <w:bCs/>
                <w:szCs w:val="21"/>
              </w:rPr>
              <w:t>其中，Ri为最近第i个自然日（包括计算当日）的每万份理财产品份额已实现收益。计算结果保留到小数点后4位，小数点后5位以后的部分四舍五入。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估值日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产品存续期内，</w:t>
            </w:r>
            <w:r>
              <w:rPr>
                <w:rFonts w:hint="eastAsia" w:ascii="仿宋" w:hAnsi="仿宋" w:eastAsia="仿宋"/>
                <w:bCs/>
                <w:szCs w:val="21"/>
              </w:rPr>
              <w:t>华夏理财</w:t>
            </w:r>
            <w:r>
              <w:rPr>
                <w:rFonts w:ascii="仿宋" w:hAnsi="仿宋" w:eastAsia="仿宋"/>
                <w:bCs/>
                <w:szCs w:val="21"/>
              </w:rPr>
              <w:t>于每个</w:t>
            </w:r>
            <w:r>
              <w:rPr>
                <w:rFonts w:hint="eastAsia" w:ascii="仿宋" w:hAnsi="仿宋" w:eastAsia="仿宋"/>
                <w:bCs/>
                <w:szCs w:val="21"/>
              </w:rPr>
              <w:t>开放</w:t>
            </w:r>
            <w:r>
              <w:rPr>
                <w:rFonts w:ascii="仿宋" w:hAnsi="仿宋" w:eastAsia="仿宋"/>
                <w:bCs/>
                <w:szCs w:val="21"/>
              </w:rPr>
              <w:t>日计算</w:t>
            </w:r>
            <w:r>
              <w:rPr>
                <w:rFonts w:hint="eastAsia" w:ascii="仿宋" w:hAnsi="仿宋" w:eastAsia="仿宋"/>
                <w:bCs/>
                <w:szCs w:val="21"/>
              </w:rPr>
              <w:t>每万份理财产品份额已实现收益和七日年化收益率，并</w:t>
            </w:r>
            <w:r>
              <w:rPr>
                <w:rFonts w:ascii="仿宋" w:hAnsi="仿宋" w:eastAsia="仿宋"/>
                <w:bCs/>
                <w:szCs w:val="21"/>
              </w:rPr>
              <w:t>于该</w:t>
            </w:r>
            <w:r>
              <w:rPr>
                <w:rFonts w:hint="eastAsia" w:ascii="仿宋" w:hAnsi="仿宋" w:eastAsia="仿宋"/>
                <w:bCs/>
                <w:szCs w:val="21"/>
              </w:rPr>
              <w:t>开放日下一工作日</w:t>
            </w:r>
            <w:r>
              <w:rPr>
                <w:rFonts w:ascii="仿宋" w:hAnsi="仿宋" w:eastAsia="仿宋"/>
                <w:bCs/>
                <w:szCs w:val="21"/>
              </w:rPr>
              <w:t>公布</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收益分配方式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根据每日理财产品收益情况，以每万份理财产品份额已实现收益为基准，为客户每日计算当日收益，并将该收益结转为产品份额。投资者自认/申购份额确认日当日开始享有收益分配权益；自赎回份额确认日当日起不再享有收益分配权益，快速赎回另行约定。</w:t>
            </w:r>
          </w:p>
          <w:p>
            <w:pPr>
              <w:adjustRightInd w:val="0"/>
              <w:snapToGrid w:val="0"/>
              <w:spacing w:line="240" w:lineRule="atLeast"/>
              <w:ind w:firstLine="420" w:firstLineChars="200"/>
              <w:jc w:val="left"/>
              <w:rPr>
                <w:rFonts w:ascii="仿宋" w:hAnsi="仿宋" w:eastAsia="仿宋" w:cs="宋体"/>
                <w:kern w:val="0"/>
                <w:szCs w:val="21"/>
              </w:rPr>
            </w:pPr>
            <w:r>
              <w:rPr>
                <w:rFonts w:hint="eastAsia" w:ascii="仿宋" w:hAnsi="仿宋" w:eastAsia="仿宋"/>
                <w:bCs/>
                <w:szCs w:val="21"/>
              </w:rPr>
              <w:t>理财产品份额保留到小数点后</w:t>
            </w:r>
            <w:r>
              <w:rPr>
                <w:rFonts w:ascii="仿宋" w:hAnsi="仿宋" w:eastAsia="仿宋"/>
                <w:bCs/>
                <w:szCs w:val="21"/>
              </w:rPr>
              <w:t xml:space="preserve"> 2 </w:t>
            </w:r>
            <w:r>
              <w:rPr>
                <w:rFonts w:hint="eastAsia" w:ascii="仿宋" w:hAnsi="仿宋" w:eastAsia="仿宋"/>
                <w:bCs/>
                <w:szCs w:val="21"/>
              </w:rPr>
              <w:t xml:space="preserve">位，小数点后 </w:t>
            </w:r>
            <w:r>
              <w:rPr>
                <w:rFonts w:ascii="仿宋" w:hAnsi="仿宋" w:eastAsia="仿宋"/>
                <w:bCs/>
                <w:szCs w:val="21"/>
              </w:rPr>
              <w:t xml:space="preserve">2 </w:t>
            </w:r>
            <w:r>
              <w:rPr>
                <w:rFonts w:hint="eastAsia" w:ascii="仿宋" w:hAnsi="仿宋" w:eastAsia="仿宋"/>
                <w:bCs/>
                <w:szCs w:val="21"/>
              </w:rPr>
              <w:t>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本产品说明书约定的信息披露渠道</w:t>
            </w:r>
            <w:r>
              <w:rPr>
                <w:rFonts w:ascii="仿宋" w:hAnsi="仿宋" w:eastAsia="仿宋"/>
                <w:b/>
                <w:szCs w:val="21"/>
              </w:rPr>
              <w:t>公告</w:t>
            </w:r>
            <w:r>
              <w:rPr>
                <w:rFonts w:hint="eastAsia" w:ascii="仿宋" w:hAnsi="仿宋" w:eastAsia="仿宋"/>
                <w:bCs/>
                <w:szCs w:val="21"/>
              </w:rPr>
              <w:t>。除本产品说明书第八节所列情形外，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当本理财产品份额低于0.01份时；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本产品说明书约定的信息披露渠道</w:t>
            </w:r>
            <w:r>
              <w:rPr>
                <w:rFonts w:ascii="仿宋" w:hAnsi="仿宋" w:eastAsia="仿宋"/>
                <w:bCs/>
                <w:szCs w:val="21"/>
              </w:rPr>
              <w:t>公告</w:t>
            </w:r>
            <w:r>
              <w:rPr>
                <w:rFonts w:hint="eastAsia" w:ascii="仿宋" w:hAnsi="仿宋" w:eastAsia="仿宋"/>
                <w:bCs/>
                <w:szCs w:val="21"/>
              </w:rPr>
              <w:t>相关信息。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2" w:firstLineChars="200"/>
              <w:rPr>
                <w:rFonts w:ascii="仿宋" w:hAnsi="仿宋" w:eastAsia="仿宋" w:cs="宋体"/>
                <w:kern w:val="0"/>
                <w:szCs w:val="21"/>
              </w:rPr>
            </w:pPr>
            <w:r>
              <w:rPr>
                <w:rFonts w:ascii="仿宋" w:hAnsi="仿宋" w:eastAsia="仿宋" w:cs="宋体"/>
                <w:b/>
                <w:bCs/>
                <w:kern w:val="0"/>
                <w:szCs w:val="21"/>
              </w:rPr>
              <w:t>（4</w:t>
            </w:r>
            <w:r>
              <w:rPr>
                <w:rFonts w:hint="eastAsia" w:ascii="仿宋" w:hAnsi="仿宋" w:eastAsia="仿宋" w:cs="宋体"/>
                <w:b/>
                <w:bCs/>
                <w:kern w:val="0"/>
                <w:szCs w:val="21"/>
              </w:rPr>
              <w:t>）客户持有份额较低时，由于本理财产品估值方式/收益结转规则等原因可能导致客户无法获取理财收益。</w:t>
            </w:r>
          </w:p>
        </w:tc>
      </w:tr>
    </w:tbl>
    <w:p>
      <w:pPr>
        <w:pStyle w:val="17"/>
        <w:snapToGrid w:val="0"/>
        <w:spacing w:after="156" w:afterLines="50" w:line="400" w:lineRule="exact"/>
        <w:ind w:firstLine="482" w:firstLineChars="200"/>
        <w:jc w:val="both"/>
        <w:rPr>
          <w:rFonts w:ascii="Times New Roman" w:eastAsia="黑体" w:cs="Times New Roman"/>
          <w:b/>
          <w:color w:val="auto"/>
        </w:rPr>
      </w:pP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w:t>
      </w:r>
      <w:r>
        <w:rPr>
          <w:rFonts w:hint="eastAsia" w:ascii="Times New Roman" w:eastAsia="黑体" w:cs="Times New Roman"/>
          <w:b/>
          <w:color w:val="auto"/>
        </w:rPr>
        <w:t>运作</w:t>
      </w:r>
    </w:p>
    <w:p>
      <w:pPr>
        <w:widowControl/>
        <w:adjustRightInd w:val="0"/>
        <w:snapToGrid w:val="0"/>
        <w:spacing w:line="276" w:lineRule="auto"/>
        <w:ind w:left="482"/>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（一）投资范围及比例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本理财产品募集的理财资金将直接或间接投资于以下金融工具：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1．现金；</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．期限在1年以内（含1年）的银行存款、债券回购、中央银行票据、同业存单；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．剩余期限在397天以内（含397天）的债券、在银行间市场和证券交易所市场发行的资产支持证券；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．银保监会、中国人民银行认可的其他具有良好流动性的货币市场工具。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本产品的杠杆水平不超过120%，但发生巨额赎回、连续3个交易日累计赎回20%以上或者连续5个交易日累计赎回30%以上的情形除外。</w:t>
      </w:r>
    </w:p>
    <w:p>
      <w:pPr>
        <w:widowControl/>
        <w:adjustRightInd w:val="0"/>
        <w:snapToGrid w:val="0"/>
        <w:spacing w:line="276" w:lineRule="auto"/>
        <w:ind w:left="482"/>
        <w:contextualSpacing/>
        <w:rPr>
          <w:rFonts w:ascii="仿宋" w:hAnsi="仿宋" w:eastAsia="仿宋" w:cs="宋体"/>
          <w:kern w:val="0"/>
          <w:sz w:val="24"/>
        </w:rPr>
      </w:pPr>
      <w:r>
        <w:rPr>
          <w:rFonts w:hint="eastAsia" w:ascii="仿宋" w:hAnsi="仿宋" w:eastAsia="仿宋" w:cs="宋体"/>
          <w:b/>
          <w:bCs/>
          <w:color w:val="000000"/>
          <w:kern w:val="0"/>
          <w:sz w:val="24"/>
        </w:rPr>
        <w:t>（二）投资限制</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本产品不得直接或间接投资于以下金融工具：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color w:val="000000"/>
          <w:kern w:val="0"/>
          <w:sz w:val="24"/>
        </w:rPr>
        <w:t>1．</w:t>
      </w:r>
      <w:r>
        <w:rPr>
          <w:rFonts w:hint="eastAsia" w:ascii="仿宋" w:hAnsi="仿宋" w:eastAsia="仿宋" w:cs="宋体"/>
          <w:kern w:val="0"/>
          <w:sz w:val="24"/>
        </w:rPr>
        <w:t>股票；</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hint="eastAsia" w:ascii="仿宋" w:hAnsi="仿宋" w:eastAsia="仿宋" w:cs="宋体"/>
          <w:kern w:val="0"/>
          <w:sz w:val="24"/>
        </w:rPr>
        <w:t>可转换债券、可交换债券；</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w:t>
      </w:r>
      <w:r>
        <w:rPr>
          <w:rFonts w:hint="eastAsia" w:ascii="仿宋" w:hAnsi="仿宋" w:eastAsia="仿宋" w:cs="宋体"/>
          <w:kern w:val="0"/>
          <w:sz w:val="24"/>
        </w:rPr>
        <w:t>以定期存款利率为基准利率的浮动利率债券，已进入最后一个利率调整期的除外；</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w:t>
      </w:r>
      <w:r>
        <w:rPr>
          <w:rFonts w:hint="eastAsia" w:ascii="仿宋" w:hAnsi="仿宋" w:eastAsia="仿宋" w:cs="宋体"/>
          <w:kern w:val="0"/>
          <w:sz w:val="24"/>
        </w:rPr>
        <w:t>信用等级在AA+以下的债券、资产支持证券；</w:t>
      </w:r>
    </w:p>
    <w:p>
      <w:pPr>
        <w:widowControl/>
        <w:adjustRightInd w:val="0"/>
        <w:snapToGrid w:val="0"/>
        <w:spacing w:line="276" w:lineRule="auto"/>
        <w:ind w:firstLine="480" w:firstLineChars="200"/>
        <w:contextualSpacing/>
        <w:jc w:val="left"/>
        <w:rPr>
          <w:rFonts w:ascii="仿宋" w:hAnsi="仿宋" w:eastAsia="仿宋" w:cs="宋体"/>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w:t>
      </w:r>
      <w:r>
        <w:rPr>
          <w:rFonts w:hint="eastAsia" w:ascii="仿宋" w:hAnsi="仿宋" w:eastAsia="仿宋" w:cs="宋体"/>
          <w:kern w:val="0"/>
          <w:sz w:val="24"/>
        </w:rPr>
        <w:t>银保监会、中国人民银行禁止投资的其他金融工具。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管理人对本产品的投资者集中度实施管理，并根据投资者集中度情况对投资组合实施调整：</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1.当前10名投资者的持有份额合计超过本产品总份额的50%时，投资组合的平均剩余期限不得超过60天，平均剩余存续期限不得超过120天，投资组合中现金、国债、中央银行票据、政策性金融债券以及5个交易日内到期的其他金融工具占该产品资产净值的比例合计不得低于30%；</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2.当前10名投资者的持有份额合计超过本产品总份额的20%时，投资组合的平均剩余期限不得超过90天，平均剩余存续期限不得超过180天，投资组合中现金、国债、中央银行票据、政策性金融债券以及5个交易日内到期的其他金融工具占该产品资产净值的比例合计不得低于20%。</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color w:val="000000"/>
          <w:kern w:val="0"/>
          <w:sz w:val="24"/>
          <w:szCs w:val="20"/>
        </w:rPr>
        <w:t>非主观因素导致突破前款各项比例限制的，管理人将在10个工作日内调整至符合要求，银保监会规定的特殊情形除外。</w:t>
      </w:r>
    </w:p>
    <w:p>
      <w:pPr>
        <w:widowControl/>
        <w:adjustRightInd w:val="0"/>
        <w:snapToGrid w:val="0"/>
        <w:spacing w:line="276" w:lineRule="auto"/>
        <w:ind w:firstLine="480" w:firstLineChars="200"/>
        <w:contextualSpacing/>
        <w:rPr>
          <w:rFonts w:ascii="仿宋" w:hAnsi="仿宋" w:eastAsia="仿宋" w:cs="宋体"/>
          <w:kern w:val="0"/>
          <w:sz w:val="24"/>
        </w:rPr>
      </w:pPr>
    </w:p>
    <w:p>
      <w:pPr>
        <w:widowControl/>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bCs/>
          <w:color w:val="000000"/>
          <w:kern w:val="0"/>
          <w:sz w:val="24"/>
        </w:rPr>
        <w:t>如投资范围及比例、投资限制等发生调整，管理人将于调整事项生效前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个工作日通过本产品说明书约定的信息披露渠道予以公告</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p>
    <w:p>
      <w:pPr>
        <w:widowControl/>
        <w:adjustRightInd w:val="0"/>
        <w:snapToGrid w:val="0"/>
        <w:spacing w:line="276" w:lineRule="auto"/>
        <w:ind w:firstLine="480" w:firstLineChars="200"/>
        <w:contextualSpacing/>
        <w:rPr>
          <w:rFonts w:ascii="仿宋" w:hAnsi="仿宋" w:eastAsia="仿宋" w:cs="宋体"/>
          <w:color w:val="000000"/>
          <w:kern w:val="0"/>
          <w:sz w:val="24"/>
        </w:rPr>
      </w:pPr>
    </w:p>
    <w:p>
      <w:pPr>
        <w:widowControl/>
        <w:adjustRightInd w:val="0"/>
        <w:snapToGrid w:val="0"/>
        <w:spacing w:line="276" w:lineRule="auto"/>
        <w:ind w:firstLine="482" w:firstLineChars="200"/>
        <w:contextualSpacing/>
        <w:rPr>
          <w:rFonts w:ascii="仿宋" w:hAnsi="仿宋" w:eastAsia="仿宋" w:cs="宋体"/>
          <w:color w:val="000000"/>
          <w:kern w:val="0"/>
          <w:sz w:val="24"/>
        </w:rPr>
      </w:pPr>
      <w:r>
        <w:rPr>
          <w:rFonts w:hint="eastAsia" w:ascii="仿宋" w:hAnsi="仿宋" w:eastAsia="仿宋" w:cs="宋体"/>
          <w:b/>
          <w:bCs/>
          <w:color w:val="000000"/>
          <w:kern w:val="0"/>
          <w:sz w:val="24"/>
        </w:rPr>
        <w:t>合作机构：</w:t>
      </w:r>
      <w:r>
        <w:rPr>
          <w:rFonts w:hint="eastAsia" w:ascii="仿宋" w:hAnsi="仿宋" w:eastAsia="仿宋" w:cs="宋体"/>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（一）本理财产品管理人为华夏理财有限责任公司。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（二）</w:t>
      </w: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1.基本信息</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pStyle w:val="17"/>
        <w:snapToGrid w:val="0"/>
        <w:spacing w:after="156" w:afterLines="50" w:line="400" w:lineRule="exact"/>
        <w:ind w:firstLine="480" w:firstLineChars="200"/>
        <w:jc w:val="both"/>
        <w:rPr>
          <w:rFonts w:ascii="Times New Roman" w:eastAsia="黑体" w:cs="Times New Roman"/>
          <w:b/>
          <w:color w:val="auto"/>
        </w:rPr>
      </w:pPr>
      <w:r>
        <w:rPr>
          <w:rFonts w:hint="eastAsia" w:ascii="仿宋" w:hAnsi="仿宋" w:eastAsia="仿宋"/>
        </w:rPr>
        <w:t>(9)银行业监督管理机构规定的其他职责。</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、认购</w:t>
      </w:r>
      <w:r>
        <w:rPr>
          <w:rFonts w:hint="eastAsia" w:ascii="Times New Roman" w:eastAsia="黑体" w:cs="Times New Roman"/>
          <w:b/>
          <w:color w:val="auto"/>
        </w:rPr>
        <w:t>、申购、赎回</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（一）认购、申购、赎回交易渠道和规定</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通过华夏理财购买的，</w:t>
      </w:r>
      <w:r>
        <w:rPr>
          <w:rFonts w:ascii="仿宋" w:hAnsi="仿宋" w:eastAsia="仿宋" w:cs="宋体"/>
          <w:kern w:val="0"/>
          <w:sz w:val="24"/>
        </w:rPr>
        <w:t>投资者可通过</w:t>
      </w:r>
      <w:r>
        <w:rPr>
          <w:rFonts w:hint="eastAsia" w:ascii="仿宋" w:hAnsi="仿宋" w:eastAsia="仿宋" w:cs="宋体"/>
          <w:kern w:val="0"/>
          <w:sz w:val="24"/>
        </w:rPr>
        <w:t>华夏理财直销</w:t>
      </w:r>
      <w:r>
        <w:rPr>
          <w:rFonts w:ascii="仿宋" w:hAnsi="仿宋" w:eastAsia="仿宋" w:cs="宋体"/>
          <w:kern w:val="0"/>
          <w:sz w:val="24"/>
        </w:rPr>
        <w:t>柜台</w:t>
      </w:r>
      <w:r>
        <w:rPr>
          <w:rFonts w:hint="eastAsia" w:ascii="仿宋" w:hAnsi="仿宋" w:eastAsia="仿宋" w:cs="宋体"/>
          <w:kern w:val="0"/>
          <w:sz w:val="24"/>
        </w:rPr>
        <w:t>及电子渠道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；通过华夏银行购买的，</w:t>
      </w:r>
      <w:r>
        <w:rPr>
          <w:rFonts w:ascii="仿宋" w:hAnsi="仿宋" w:eastAsia="仿宋" w:cs="宋体"/>
          <w:kern w:val="0"/>
          <w:sz w:val="24"/>
        </w:rPr>
        <w:t>可通过</w:t>
      </w:r>
      <w:r>
        <w:rPr>
          <w:rFonts w:hint="eastAsia" w:ascii="仿宋" w:hAnsi="仿宋" w:eastAsia="仿宋" w:cs="宋体"/>
          <w:kern w:val="0"/>
          <w:sz w:val="24"/>
        </w:rPr>
        <w:t>华夏银行柜台、手机银行、网上银行、微信银行等渠道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；通过代销机构购买的，认购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hint="eastAsia" w:ascii="仿宋" w:hAnsi="仿宋" w:eastAsia="仿宋" w:cs="宋体"/>
          <w:kern w:val="0"/>
          <w:sz w:val="24"/>
        </w:rPr>
        <w:t>渠道以代销机构规定为准</w:t>
      </w:r>
      <w:r>
        <w:rPr>
          <w:rFonts w:ascii="仿宋" w:hAnsi="仿宋" w:eastAsia="仿宋" w:cs="宋体"/>
          <w:kern w:val="0"/>
          <w:sz w:val="24"/>
        </w:rPr>
        <w:t>。</w:t>
      </w:r>
    </w:p>
    <w:p>
      <w:pPr>
        <w:widowControl/>
        <w:adjustRightInd w:val="0"/>
        <w:snapToGrid w:val="0"/>
        <w:spacing w:line="276" w:lineRule="auto"/>
        <w:ind w:firstLine="482" w:firstLineChars="200"/>
        <w:contextualSpacing/>
        <w:rPr>
          <w:rFonts w:ascii="仿宋" w:hAnsi="仿宋" w:eastAsia="仿宋" w:cs="宋体"/>
          <w:kern w:val="0"/>
          <w:sz w:val="24"/>
        </w:rPr>
      </w:pPr>
      <w:r>
        <w:rPr>
          <w:rFonts w:ascii="仿宋" w:hAnsi="仿宋" w:eastAsia="仿宋" w:cs="宋体"/>
          <w:b/>
          <w:bCs/>
          <w:color w:val="000000"/>
          <w:kern w:val="0"/>
          <w:sz w:val="24"/>
        </w:rPr>
        <w:t>2</w:t>
      </w:r>
      <w:r>
        <w:rPr>
          <w:rFonts w:hint="eastAsia" w:ascii="仿宋" w:hAnsi="仿宋" w:eastAsia="仿宋" w:cs="宋体"/>
          <w:b/>
          <w:bCs/>
          <w:color w:val="000000"/>
          <w:kern w:val="0"/>
          <w:sz w:val="24"/>
        </w:rPr>
        <w:t>．</w:t>
      </w:r>
      <w:r>
        <w:rPr>
          <w:rFonts w:hint="eastAsia" w:ascii="仿宋" w:hAnsi="仿宋" w:eastAsia="仿宋" w:cs="宋体"/>
          <w:b/>
          <w:bCs/>
          <w:kern w:val="0"/>
          <w:sz w:val="24"/>
        </w:rPr>
        <w:t>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产品单一投资者持有</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份额数不得超过</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份额总数的 50%。非因</w:t>
      </w:r>
      <w:r>
        <w:rPr>
          <w:rFonts w:ascii="仿宋" w:hAnsi="仿宋" w:eastAsia="仿宋" w:cs="宋体"/>
          <w:b/>
          <w:bCs/>
          <w:kern w:val="0"/>
          <w:sz w:val="24"/>
        </w:rPr>
        <w:t>管理人</w:t>
      </w:r>
      <w:r>
        <w:rPr>
          <w:rFonts w:hint="eastAsia" w:ascii="仿宋" w:hAnsi="仿宋" w:eastAsia="仿宋" w:cs="宋体"/>
          <w:b/>
          <w:bCs/>
          <w:kern w:val="0"/>
          <w:sz w:val="24"/>
        </w:rPr>
        <w:t>主观因素导致突破前款规定比例限制的，在单一投资者持有比例降至50%以下之前，</w:t>
      </w:r>
      <w:r>
        <w:rPr>
          <w:rFonts w:ascii="仿宋" w:hAnsi="仿宋" w:eastAsia="仿宋" w:cs="宋体"/>
          <w:b/>
          <w:bCs/>
          <w:kern w:val="0"/>
          <w:sz w:val="24"/>
        </w:rPr>
        <w:t>管理人将</w:t>
      </w:r>
      <w:r>
        <w:rPr>
          <w:rFonts w:hint="eastAsia" w:ascii="仿宋" w:hAnsi="仿宋" w:eastAsia="仿宋" w:cs="宋体"/>
          <w:b/>
          <w:bCs/>
          <w:kern w:val="0"/>
          <w:sz w:val="24"/>
        </w:rPr>
        <w:t>不再接受该单一投资者对本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产品的认、</w:t>
      </w:r>
      <w:r>
        <w:rPr>
          <w:rFonts w:ascii="仿宋" w:hAnsi="仿宋" w:eastAsia="仿宋" w:cs="宋体"/>
          <w:b/>
          <w:bCs/>
          <w:kern w:val="0"/>
          <w:sz w:val="24"/>
        </w:rPr>
        <w:t>申</w:t>
      </w:r>
      <w:r>
        <w:rPr>
          <w:rFonts w:hint="eastAsia" w:ascii="仿宋" w:hAnsi="仿宋" w:eastAsia="仿宋" w:cs="宋体"/>
          <w:b/>
          <w:bCs/>
          <w:kern w:val="0"/>
          <w:sz w:val="24"/>
        </w:rPr>
        <w:t>购申请。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法律法规、监管部门另有规定的，从其规定。</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（二）拒绝或暂停</w:t>
      </w:r>
      <w:r>
        <w:rPr>
          <w:rFonts w:hint="eastAsia" w:ascii="仿宋" w:hAnsi="仿宋" w:eastAsia="仿宋" w:cs="宋体"/>
          <w:color w:val="000000"/>
          <w:kern w:val="0"/>
          <w:sz w:val="24"/>
        </w:rPr>
        <w:t>认（申）</w:t>
      </w:r>
      <w:r>
        <w:rPr>
          <w:rFonts w:hint="eastAsia" w:ascii="仿宋" w:hAnsi="仿宋" w:eastAsia="仿宋" w:cs="宋体"/>
          <w:kern w:val="0"/>
          <w:sz w:val="24"/>
        </w:rPr>
        <w:t>购的情形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发生下列情况之一时，</w:t>
      </w:r>
      <w:r>
        <w:rPr>
          <w:rFonts w:ascii="仿宋" w:hAnsi="仿宋" w:eastAsia="仿宋" w:cs="宋体"/>
          <w:b/>
          <w:bCs/>
          <w:kern w:val="0"/>
          <w:sz w:val="24"/>
        </w:rPr>
        <w:t>管理人</w:t>
      </w:r>
      <w:r>
        <w:rPr>
          <w:rFonts w:hint="eastAsia" w:ascii="仿宋" w:hAnsi="仿宋" w:eastAsia="仿宋" w:cs="宋体"/>
          <w:b/>
          <w:bCs/>
          <w:kern w:val="0"/>
          <w:sz w:val="24"/>
        </w:rPr>
        <w:t>可以</w:t>
      </w:r>
      <w:r>
        <w:rPr>
          <w:rFonts w:hint="eastAsia" w:ascii="仿宋" w:hAnsi="仿宋" w:eastAsia="仿宋" w:cs="宋体"/>
          <w:b/>
          <w:bCs/>
          <w:color w:val="000000"/>
          <w:kern w:val="0"/>
          <w:sz w:val="24"/>
        </w:rPr>
        <w:t>采取认（申）购风险应对措施，</w:t>
      </w:r>
      <w:r>
        <w:rPr>
          <w:rFonts w:hint="eastAsia" w:ascii="仿宋" w:hAnsi="仿宋" w:eastAsia="仿宋" w:cs="宋体"/>
          <w:b/>
          <w:bCs/>
          <w:kern w:val="0"/>
          <w:sz w:val="24"/>
        </w:rPr>
        <w:t>拒绝或暂停接受</w:t>
      </w:r>
      <w:r>
        <w:rPr>
          <w:rFonts w:hint="eastAsia" w:ascii="仿宋" w:hAnsi="仿宋" w:eastAsia="仿宋" w:cs="宋体"/>
          <w:b/>
          <w:bCs/>
          <w:color w:val="000000"/>
          <w:kern w:val="0"/>
          <w:sz w:val="24"/>
        </w:rPr>
        <w:t>认（申）</w:t>
      </w:r>
      <w:r>
        <w:rPr>
          <w:rFonts w:hint="eastAsia" w:ascii="仿宋" w:hAnsi="仿宋" w:eastAsia="仿宋" w:cs="宋体"/>
          <w:b/>
          <w:bCs/>
          <w:kern w:val="0"/>
          <w:sz w:val="24"/>
        </w:rPr>
        <w:t>购申请</w:t>
      </w:r>
      <w:r>
        <w:rPr>
          <w:rFonts w:hint="eastAsia" w:ascii="仿宋" w:hAnsi="仿宋" w:eastAsia="仿宋" w:cs="宋体"/>
          <w:b/>
          <w:bCs/>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1．因不可抗力导致理财</w:t>
      </w:r>
      <w:r>
        <w:rPr>
          <w:rFonts w:ascii="仿宋" w:hAnsi="仿宋" w:eastAsia="仿宋" w:cs="宋体"/>
          <w:color w:val="000000"/>
          <w:kern w:val="0"/>
          <w:sz w:val="24"/>
        </w:rPr>
        <w:t>产品</w:t>
      </w:r>
      <w:r>
        <w:rPr>
          <w:rFonts w:hint="eastAsia" w:ascii="仿宋" w:hAnsi="仿宋" w:eastAsia="仿宋" w:cs="宋体"/>
          <w:color w:val="000000"/>
          <w:kern w:val="0"/>
          <w:sz w:val="24"/>
        </w:rPr>
        <w:t>无法正常运作。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3．接受认（申）购申请可能对存量投资者利益构成重大不利影响。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4．认购/申购日理财产品实时余额已达到规模上限。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5．基于理财产品投资运作与风险控制需要。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6．接受认（申）购申请有可能导致单一投资者持有份额的比例超过产品</w:t>
      </w:r>
      <w:r>
        <w:rPr>
          <w:rFonts w:hint="eastAsia" w:ascii="仿宋" w:hAnsi="仿宋" w:eastAsia="仿宋" w:cs="宋体"/>
          <w:kern w:val="0"/>
          <w:sz w:val="24"/>
        </w:rPr>
        <w:t>份额总数的</w:t>
      </w:r>
      <w:r>
        <w:rPr>
          <w:rFonts w:hint="eastAsia" w:ascii="仿宋" w:hAnsi="仿宋" w:eastAsia="仿宋" w:cs="宋体"/>
          <w:color w:val="000000"/>
          <w:kern w:val="0"/>
          <w:sz w:val="24"/>
        </w:rPr>
        <w:t>50%，或者出现变相规避50%集中度限制的情形。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7．当影子定价确定的产品资产净值与摊余成本法计算的产品资产净值正偏离度绝对值达到0.5%时的情形。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8</w:t>
      </w:r>
      <w:r>
        <w:rPr>
          <w:rFonts w:hint="eastAsia" w:ascii="仿宋" w:hAnsi="仿宋" w:eastAsia="仿宋" w:cs="宋体"/>
          <w:color w:val="000000"/>
          <w:kern w:val="0"/>
          <w:sz w:val="24"/>
        </w:rPr>
        <w:t>．法律法规规定或监管</w:t>
      </w:r>
      <w:r>
        <w:rPr>
          <w:rFonts w:ascii="仿宋" w:hAnsi="仿宋" w:eastAsia="仿宋" w:cs="宋体"/>
          <w:color w:val="000000"/>
          <w:kern w:val="0"/>
          <w:sz w:val="24"/>
        </w:rPr>
        <w:t>机构</w:t>
      </w:r>
      <w:r>
        <w:rPr>
          <w:rFonts w:hint="eastAsia" w:ascii="仿宋" w:hAnsi="仿宋" w:eastAsia="仿宋" w:cs="宋体"/>
          <w:color w:val="000000"/>
          <w:kern w:val="0"/>
          <w:sz w:val="24"/>
        </w:rPr>
        <w:t>认定的其他情形。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如果投资人的认（申）购申请被全部或部分拒绝的，被拒绝的认（申）购款项将退还给投资人。在暂停认（申）购的情况消除时，</w:t>
      </w:r>
      <w:r>
        <w:rPr>
          <w:rFonts w:ascii="仿宋" w:hAnsi="仿宋" w:eastAsia="仿宋" w:cs="宋体"/>
          <w:kern w:val="0"/>
          <w:sz w:val="24"/>
        </w:rPr>
        <w:t>管理人</w:t>
      </w:r>
      <w:r>
        <w:rPr>
          <w:rFonts w:hint="eastAsia" w:ascii="仿宋" w:hAnsi="仿宋" w:eastAsia="仿宋" w:cs="宋体"/>
          <w:color w:val="000000"/>
          <w:kern w:val="0"/>
          <w:sz w:val="24"/>
        </w:rPr>
        <w:t>将及时恢复办理业务。</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（三）暂停赎回或延缓支付赎回款项的情形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在发生下列情形之一时，</w:t>
      </w:r>
      <w:r>
        <w:rPr>
          <w:rFonts w:ascii="仿宋" w:hAnsi="仿宋" w:eastAsia="仿宋" w:cs="宋体"/>
          <w:b/>
          <w:bCs/>
          <w:kern w:val="0"/>
          <w:sz w:val="24"/>
        </w:rPr>
        <w:t>管理人</w:t>
      </w:r>
      <w:r>
        <w:rPr>
          <w:rFonts w:hint="eastAsia" w:ascii="仿宋" w:hAnsi="仿宋" w:eastAsia="仿宋" w:cs="宋体"/>
          <w:b/>
          <w:bCs/>
          <w:kern w:val="0"/>
          <w:sz w:val="24"/>
        </w:rPr>
        <w:t>可以采取</w:t>
      </w:r>
      <w:r>
        <w:rPr>
          <w:rFonts w:hint="eastAsia" w:ascii="仿宋" w:hAnsi="仿宋" w:eastAsia="仿宋" w:cs="宋体"/>
          <w:b/>
          <w:bCs/>
          <w:color w:val="000000"/>
          <w:kern w:val="0"/>
          <w:sz w:val="24"/>
        </w:rPr>
        <w:t>赎回流动性风险应对措施，包括</w:t>
      </w:r>
      <w:r>
        <w:rPr>
          <w:rFonts w:ascii="仿宋" w:hAnsi="仿宋" w:eastAsia="仿宋" w:cs="宋体"/>
          <w:b/>
          <w:bCs/>
          <w:color w:val="000000"/>
          <w:kern w:val="0"/>
          <w:sz w:val="24"/>
        </w:rPr>
        <w:t>但不限于</w:t>
      </w:r>
      <w:r>
        <w:rPr>
          <w:rFonts w:hint="eastAsia" w:ascii="仿宋" w:hAnsi="仿宋" w:eastAsia="仿宋" w:cs="宋体"/>
          <w:b/>
          <w:bCs/>
          <w:color w:val="000000"/>
          <w:kern w:val="0"/>
          <w:sz w:val="24"/>
        </w:rPr>
        <w:t>延期办理巨额赎回申请、暂停接受赎回申请、延缓支付赎回款项等：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w:t>
      </w:r>
      <w:r>
        <w:rPr>
          <w:rFonts w:ascii="仿宋" w:hAnsi="仿宋" w:eastAsia="仿宋" w:cs="宋体"/>
          <w:kern w:val="0"/>
          <w:sz w:val="24"/>
        </w:rPr>
        <w:t>管理人</w:t>
      </w:r>
      <w:r>
        <w:rPr>
          <w:rFonts w:hint="eastAsia" w:ascii="仿宋" w:hAnsi="仿宋" w:eastAsia="仿宋" w:cs="宋体"/>
          <w:color w:val="000000"/>
          <w:kern w:val="0"/>
          <w:sz w:val="24"/>
        </w:rPr>
        <w:t>不能支付赎回款项。</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．连续2个以上开放日发生巨额赎回。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bCs/>
          <w:color w:val="000000"/>
          <w:sz w:val="24"/>
        </w:rPr>
        <w:t>5</w:t>
      </w:r>
      <w:r>
        <w:rPr>
          <w:rFonts w:hint="eastAsia" w:ascii="仿宋" w:hAnsi="仿宋" w:eastAsia="仿宋" w:cs="宋体"/>
          <w:color w:val="000000"/>
          <w:kern w:val="0"/>
          <w:sz w:val="24"/>
        </w:rPr>
        <w:t>．</w:t>
      </w:r>
      <w:r>
        <w:rPr>
          <w:rFonts w:hint="eastAsia" w:ascii="仿宋" w:hAnsi="仿宋" w:eastAsia="仿宋"/>
          <w:bCs/>
          <w:color w:val="000000"/>
          <w:sz w:val="24"/>
        </w:rPr>
        <w:t>单个投资者在单个开放日的赎回超过说明书约定的赎回</w:t>
      </w:r>
      <w:r>
        <w:rPr>
          <w:rFonts w:ascii="仿宋" w:hAnsi="仿宋" w:eastAsia="仿宋"/>
          <w:bCs/>
          <w:color w:val="000000"/>
          <w:sz w:val="24"/>
        </w:rPr>
        <w:t>上限</w:t>
      </w:r>
      <w:r>
        <w:rPr>
          <w:rFonts w:hint="eastAsia" w:ascii="仿宋" w:hAnsi="仿宋" w:eastAsia="仿宋"/>
          <w:bCs/>
          <w:color w:val="00000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6．继续接受赎回申请可能对存量理财投资者利益构成潜在重大不利影响。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7．单个投资者在单个开放日申请赎回份额超过该产品总份额10%的。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8．当影子定价确定的产品资产净值与摊余成本法计算的产品资产净值负偏离度绝对值连续两个交易日超过0.5%时。</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9．法律法规规定或监管机构认定的其他情形。</w:t>
      </w:r>
    </w:p>
    <w:p>
      <w:pPr>
        <w:pStyle w:val="17"/>
        <w:snapToGrid w:val="0"/>
        <w:spacing w:after="156" w:afterLines="50" w:line="400" w:lineRule="exact"/>
        <w:ind w:firstLine="480" w:firstLineChars="200"/>
        <w:jc w:val="both"/>
        <w:rPr>
          <w:rFonts w:hint="eastAsia" w:ascii="仿宋" w:hAnsi="仿宋" w:eastAsia="仿宋"/>
        </w:rPr>
      </w:pPr>
      <w:r>
        <w:rPr>
          <w:rFonts w:hint="eastAsia" w:ascii="仿宋" w:hAnsi="仿宋" w:eastAsia="仿宋"/>
        </w:rPr>
        <w:t>在暂停赎回的情形消除时，</w:t>
      </w:r>
      <w:r>
        <w:rPr>
          <w:rFonts w:ascii="仿宋" w:hAnsi="仿宋" w:eastAsia="仿宋"/>
        </w:rPr>
        <w:t>管理人</w:t>
      </w:r>
      <w:r>
        <w:rPr>
          <w:rFonts w:hint="eastAsia" w:ascii="仿宋" w:hAnsi="仿宋" w:eastAsia="仿宋"/>
        </w:rPr>
        <w:t>将及时恢复办理赎回业务并公告。</w:t>
      </w:r>
    </w:p>
    <w:p>
      <w:pPr>
        <w:pStyle w:val="17"/>
        <w:snapToGrid w:val="0"/>
        <w:spacing w:after="156" w:afterLines="50" w:line="400" w:lineRule="exact"/>
        <w:ind w:firstLine="480" w:firstLineChars="200"/>
        <w:jc w:val="both"/>
        <w:rPr>
          <w:rFonts w:hint="eastAsia" w:ascii="仿宋" w:hAnsi="仿宋" w:eastAsia="仿宋"/>
        </w:rPr>
      </w:pPr>
      <w:r>
        <w:rPr>
          <w:rFonts w:hint="eastAsia" w:ascii="仿宋" w:hAnsi="仿宋" w:eastAsia="仿宋"/>
        </w:rPr>
        <w:t>单个投资者在单个开放日申请赎回的理财产品份额，超过本理财产品上一日总份额的10%时，管理人有权采取延期办理部分赎回申请或者延缓支付赎回款项的措施，延缓支付赎回款项的延缓期限不超过20个工作日。</w:t>
      </w:r>
      <w:bookmarkStart w:id="4" w:name="_GoBack"/>
      <w:bookmarkEnd w:id="4"/>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（四）</w:t>
      </w:r>
      <w:r>
        <w:rPr>
          <w:rFonts w:ascii="仿宋" w:hAnsi="仿宋" w:eastAsia="仿宋" w:cs="宋体"/>
          <w:color w:val="000000"/>
          <w:kern w:val="0"/>
          <w:sz w:val="24"/>
        </w:rPr>
        <w:t>快速赎回</w:t>
      </w:r>
      <w:r>
        <w:rPr>
          <w:rFonts w:hint="eastAsia" w:ascii="仿宋" w:hAnsi="仿宋" w:eastAsia="仿宋" w:cs="宋体"/>
          <w:color w:val="000000"/>
          <w:kern w:val="0"/>
          <w:sz w:val="24"/>
        </w:rPr>
        <w:t>增值服务</w:t>
      </w:r>
    </w:p>
    <w:p>
      <w:pPr>
        <w:pStyle w:val="17"/>
        <w:snapToGrid w:val="0"/>
        <w:spacing w:after="156" w:afterLines="50" w:line="400" w:lineRule="exact"/>
        <w:ind w:firstLine="480" w:firstLineChars="200"/>
        <w:jc w:val="both"/>
        <w:rPr>
          <w:rFonts w:ascii="Times New Roman" w:eastAsia="黑体" w:cs="Times New Roman"/>
          <w:b/>
          <w:color w:val="auto"/>
        </w:rPr>
      </w:pPr>
      <w:r>
        <w:rPr>
          <w:rFonts w:ascii="仿宋" w:hAnsi="仿宋" w:eastAsia="仿宋"/>
        </w:rPr>
        <w:t>“快速赎回”</w:t>
      </w:r>
      <w:r>
        <w:rPr>
          <w:rFonts w:hint="eastAsia" w:ascii="仿宋" w:hAnsi="仿宋" w:eastAsia="仿宋"/>
        </w:rPr>
        <w:t>非法定义务，为本理财产品的</w:t>
      </w:r>
      <w:r>
        <w:rPr>
          <w:rFonts w:ascii="仿宋" w:hAnsi="仿宋" w:eastAsia="仿宋"/>
        </w:rPr>
        <w:t>增值服务</w:t>
      </w:r>
      <w:r>
        <w:rPr>
          <w:rFonts w:hint="eastAsia" w:ascii="仿宋" w:hAnsi="仿宋" w:eastAsia="仿宋"/>
        </w:rPr>
        <w:t>，</w:t>
      </w:r>
      <w:r>
        <w:rPr>
          <w:rFonts w:ascii="仿宋" w:hAnsi="仿宋" w:eastAsia="仿宋"/>
        </w:rPr>
        <w:t>具体</w:t>
      </w:r>
      <w:r>
        <w:rPr>
          <w:rFonts w:hint="eastAsia" w:ascii="仿宋" w:hAnsi="仿宋" w:eastAsia="仿宋"/>
        </w:rPr>
        <w:t>业务处理原则以</w:t>
      </w:r>
      <w:r>
        <w:rPr>
          <w:rFonts w:ascii="仿宋" w:hAnsi="仿宋" w:eastAsia="仿宋"/>
        </w:rPr>
        <w:t>快速赎回服务协议</w:t>
      </w:r>
      <w:r>
        <w:rPr>
          <w:rFonts w:hint="eastAsia" w:ascii="仿宋" w:hAnsi="仿宋" w:eastAsia="仿宋"/>
        </w:rPr>
        <w:t>约定为准</w:t>
      </w:r>
      <w:r>
        <w:rPr>
          <w:rFonts w:ascii="仿宋" w:hAnsi="仿宋" w:eastAsia="仿宋"/>
        </w:rPr>
        <w:t>。管理人将根据快速赎回服务协议的约定，履行份额快速过户及理财份额收益划付等职责。</w:t>
      </w:r>
      <w:r>
        <w:rPr>
          <w:rFonts w:hint="eastAsia" w:ascii="仿宋" w:hAnsi="仿宋" w:eastAsia="仿宋"/>
        </w:rPr>
        <w:t>关于快速赎回事宜管理人/销售机构将通过本产品说明书约定的信息披露渠道另行公告。</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、理财产品估值</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（一）估值日</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产品存续期内，华夏理财于每个开放日计算每万份理财产品份额已实现收益和七日年化收益率，并于该开放日下一工作日公布，节假日期间万份收益和七日年化收益率于节假日后首个开放日公布。</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（二）估值对象</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本产品所投资的货币市场工具、债券类资产以及资产管理产品等。</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（三）估值原则</w:t>
      </w:r>
    </w:p>
    <w:p>
      <w:pPr>
        <w:pStyle w:val="17"/>
        <w:snapToGrid w:val="0"/>
        <w:spacing w:line="276" w:lineRule="auto"/>
        <w:ind w:firstLine="480" w:firstLineChars="200"/>
        <w:contextualSpacing/>
        <w:rPr>
          <w:rFonts w:ascii="仿宋" w:hAnsi="仿宋" w:eastAsia="仿宋"/>
        </w:rPr>
      </w:pPr>
      <w:r>
        <w:rPr>
          <w:rFonts w:hint="eastAsia" w:ascii="仿宋" w:hAnsi="仿宋" w:eastAsia="仿宋"/>
          <w:color w:val="auto"/>
        </w:rPr>
        <w:t>理财</w:t>
      </w:r>
      <w:r>
        <w:rPr>
          <w:rFonts w:ascii="仿宋" w:hAnsi="仿宋" w:eastAsia="仿宋"/>
          <w:color w:val="auto"/>
        </w:rPr>
        <w:t>产品估值的目的是公允、合理地反映理财产品的价值</w:t>
      </w:r>
      <w:r>
        <w:rPr>
          <w:rFonts w:hint="eastAsia" w:ascii="仿宋" w:hAnsi="仿宋" w:eastAsia="仿宋"/>
          <w:color w:val="auto"/>
        </w:rPr>
        <w:t>。估值</w:t>
      </w:r>
      <w:r>
        <w:rPr>
          <w:rFonts w:ascii="仿宋" w:hAnsi="仿宋" w:eastAsia="仿宋"/>
          <w:color w:val="auto"/>
        </w:rPr>
        <w:t>中坚持公允价值计量原则。金融</w:t>
      </w:r>
      <w:r>
        <w:rPr>
          <w:rFonts w:hint="eastAsia" w:ascii="仿宋" w:hAnsi="仿宋" w:eastAsia="仿宋"/>
          <w:color w:val="auto"/>
        </w:rPr>
        <w:t>资产</w:t>
      </w:r>
      <w:r>
        <w:rPr>
          <w:rFonts w:ascii="仿宋" w:hAnsi="仿宋" w:eastAsia="仿宋"/>
          <w:color w:val="auto"/>
        </w:rPr>
        <w:t>的公允价值确定方法应与理财产品的类型相匹配。</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（四）估值方法</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本理财产品估值采用摊余成本法，即计价对象以买入成本列示，按票面利率或协议利率并考虑其买入时的溢价与折价，在其剩余期限内按照实际利率法进行摊销，每日计提损益。</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1、债券、同业存单、资产支持证券等固定收益类资产，以买入成本列示，按票面利率或商定利率并考虑其买入时的溢价与折价，在其剩余期限内按实际利率法进行摊销，每日计提</w:t>
      </w:r>
      <w:r>
        <w:rPr>
          <w:rFonts w:hint="eastAsia" w:ascii="仿宋" w:hAnsi="仿宋" w:eastAsia="仿宋"/>
          <w:color w:val="auto"/>
        </w:rPr>
        <w:t>损</w:t>
      </w:r>
      <w:r>
        <w:rPr>
          <w:rFonts w:ascii="仿宋" w:hAnsi="仿宋" w:eastAsia="仿宋"/>
          <w:color w:val="auto"/>
        </w:rPr>
        <w:t>益。</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2、银行存款：按照约定利率在持有期内逐日计提应收利息，在利息到账日以实收利息入账。</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3、债券回购：持有的回购协议以本金列示，按商定利率在实际持有期间内逐日计提利息。</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4、投资于信托计划、资产管理计划、基金等资产的</w:t>
      </w:r>
      <w:r>
        <w:rPr>
          <w:rFonts w:hint="eastAsia" w:ascii="仿宋" w:hAnsi="仿宋" w:eastAsia="仿宋"/>
          <w:color w:val="auto"/>
        </w:rPr>
        <w:t>，</w:t>
      </w:r>
      <w:r>
        <w:rPr>
          <w:rFonts w:ascii="仿宋" w:hAnsi="仿宋" w:eastAsia="仿宋"/>
          <w:color w:val="auto"/>
        </w:rPr>
        <w:t>按合同约定的估值方案，以信托计划的受托人、资产管理计划或基金的管理人等和资产托管人共同确认的净值或投资收益情况进行估值。</w:t>
      </w:r>
    </w:p>
    <w:p>
      <w:pPr>
        <w:pStyle w:val="17"/>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5</w:t>
      </w:r>
      <w:r>
        <w:rPr>
          <w:rFonts w:ascii="仿宋" w:hAnsi="仿宋" w:eastAsia="仿宋"/>
          <w:color w:val="auto"/>
        </w:rPr>
        <w:t>、其他资产：采用理财产品管理人和理财产品托管人共同认可的方法估值。</w:t>
      </w:r>
    </w:p>
    <w:p>
      <w:pPr>
        <w:pStyle w:val="17"/>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6</w:t>
      </w:r>
      <w:r>
        <w:rPr>
          <w:rFonts w:ascii="仿宋" w:hAnsi="仿宋" w:eastAsia="仿宋"/>
          <w:color w:val="auto"/>
        </w:rPr>
        <w:t>、国家有最新规定的，按其规定进行估值。</w:t>
      </w:r>
    </w:p>
    <w:p>
      <w:pPr>
        <w:pStyle w:val="17"/>
        <w:snapToGrid w:val="0"/>
        <w:spacing w:line="276" w:lineRule="auto"/>
        <w:ind w:firstLine="480" w:firstLineChars="200"/>
        <w:contextualSpacing/>
        <w:rPr>
          <w:rFonts w:ascii="仿宋" w:hAnsi="仿宋" w:eastAsia="仿宋"/>
          <w:color w:val="auto"/>
        </w:rPr>
      </w:pPr>
      <w:r>
        <w:rPr>
          <w:rFonts w:ascii="仿宋" w:hAnsi="仿宋" w:eastAsia="仿宋"/>
          <w:color w:val="auto"/>
        </w:rPr>
        <w:t>本理财产品不采用市场利率和上市交易的债券和票据的市价计算理财产品资产净值。为了避免采用摊余成本法计算的理财产品资产净值与按市场利率和交易市价计算的理财产品资产净值发生重大偏离，从而对理财产品持有人的利益产生稀释或其他不公平的结果，理财产品管理人于每一计价日，采用估值技术，对理财产品持有的计价对象进行重新评估，即“影子定价”。</w:t>
      </w:r>
    </w:p>
    <w:p>
      <w:pPr>
        <w:pStyle w:val="17"/>
        <w:snapToGrid w:val="0"/>
        <w:spacing w:line="276" w:lineRule="auto"/>
        <w:ind w:firstLine="482" w:firstLineChars="200"/>
        <w:contextualSpacing/>
        <w:rPr>
          <w:rFonts w:ascii="仿宋" w:hAnsi="仿宋" w:eastAsia="仿宋"/>
          <w:color w:val="auto"/>
        </w:rPr>
      </w:pPr>
      <w:r>
        <w:rPr>
          <w:rFonts w:ascii="仿宋" w:hAnsi="仿宋" w:eastAsia="仿宋"/>
          <w:b/>
          <w:bCs/>
          <w:color w:val="auto"/>
        </w:rPr>
        <w:t>当影子定价确定的产品资产净值与摊余成本法计算的产品资产净值正偏离度绝对值达到0.5%时，管理人将暂停接受</w:t>
      </w:r>
      <w:r>
        <w:rPr>
          <w:rFonts w:hint="eastAsia" w:ascii="仿宋" w:hAnsi="仿宋" w:eastAsia="仿宋"/>
          <w:b/>
          <w:bCs/>
          <w:color w:val="auto"/>
        </w:rPr>
        <w:t>申</w:t>
      </w:r>
      <w:r>
        <w:rPr>
          <w:rFonts w:ascii="仿宋" w:hAnsi="仿宋" w:eastAsia="仿宋"/>
          <w:b/>
          <w:bCs/>
          <w:color w:val="auto"/>
        </w:rPr>
        <w:t>购并在5个交易日内将正偏离度绝对值调整到0.5%以内。</w:t>
      </w:r>
      <w:r>
        <w:rPr>
          <w:rFonts w:ascii="仿宋" w:hAnsi="仿宋" w:eastAsia="仿宋"/>
          <w:color w:val="auto"/>
        </w:rPr>
        <w:t>当负偏离度绝对值达到0.25%时，管理人将在5个交易日内将负偏离度绝对值调整到0.25%以内。当负偏离度绝对值达到0.5%时，管理人将采取相应措施，将负偏离度绝对值控制在0.5%以内。</w:t>
      </w:r>
      <w:r>
        <w:rPr>
          <w:rFonts w:ascii="仿宋" w:hAnsi="仿宋" w:eastAsia="仿宋"/>
          <w:b/>
          <w:bCs/>
          <w:color w:val="auto"/>
        </w:rPr>
        <w:t>当负偏离度绝对值连续两个交易日超过0.5%时，管理人将采用公允价值估值方法对持有投资组合的账面价值进行调整，或者</w:t>
      </w:r>
      <w:r>
        <w:rPr>
          <w:rFonts w:hint="eastAsia" w:ascii="仿宋" w:hAnsi="仿宋" w:eastAsia="仿宋"/>
          <w:b/>
          <w:bCs/>
          <w:color w:val="auto"/>
        </w:rPr>
        <w:t>有权</w:t>
      </w:r>
      <w:r>
        <w:rPr>
          <w:rFonts w:ascii="仿宋" w:hAnsi="仿宋" w:eastAsia="仿宋"/>
          <w:b/>
          <w:bCs/>
          <w:color w:val="auto"/>
        </w:rPr>
        <w:t>采取暂停接受所有赎回申请并终止产品合同进行财产清算等措施。</w:t>
      </w:r>
    </w:p>
    <w:p>
      <w:pPr>
        <w:pStyle w:val="17"/>
        <w:snapToGrid w:val="0"/>
        <w:spacing w:line="276" w:lineRule="auto"/>
        <w:ind w:firstLine="480" w:firstLineChars="200"/>
        <w:contextualSpacing/>
        <w:rPr>
          <w:rFonts w:ascii="仿宋" w:hAnsi="仿宋" w:eastAsia="仿宋"/>
        </w:rPr>
      </w:pPr>
      <w:r>
        <w:rPr>
          <w:rFonts w:ascii="仿宋" w:hAnsi="仿宋" w:eastAsia="仿宋"/>
          <w:color w:val="auto"/>
        </w:rPr>
        <w:t>影子定价与摊余成本法确定的产品资产净值的偏离度＝（NAVs-NAVa）/NAVa。其中，NAVs为影子定价确定的产品资产净值，NAVa为摊余成本法确定的产品资产净值。）</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相关法律法规以及监管部门有强制规定的，从其规定。如有新增事项或变更事项，依法按最新规定计算。没有相关规定的，由产品管理人与托管人协商确定计算方法。</w:t>
      </w:r>
    </w:p>
    <w:p>
      <w:pPr>
        <w:pStyle w:val="17"/>
        <w:snapToGrid w:val="0"/>
        <w:spacing w:line="276" w:lineRule="auto"/>
        <w:ind w:firstLine="480" w:firstLineChars="200"/>
        <w:contextualSpacing/>
        <w:rPr>
          <w:rFonts w:ascii="仿宋" w:hAnsi="仿宋" w:eastAsia="仿宋"/>
          <w:b/>
          <w:bCs/>
        </w:rPr>
      </w:pPr>
      <w:r>
        <w:rPr>
          <w:rFonts w:hint="eastAsia" w:ascii="仿宋" w:hAnsi="仿宋" w:eastAsia="仿宋"/>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17"/>
        <w:snapToGrid w:val="0"/>
        <w:spacing w:line="276" w:lineRule="auto"/>
        <w:ind w:firstLine="482" w:firstLineChars="200"/>
        <w:contextualSpacing/>
        <w:rPr>
          <w:rFonts w:ascii="仿宋" w:hAnsi="仿宋" w:eastAsia="仿宋"/>
        </w:rPr>
      </w:pPr>
      <w:r>
        <w:rPr>
          <w:rFonts w:hint="eastAsia" w:ascii="仿宋" w:hAnsi="仿宋" w:eastAsia="仿宋"/>
          <w:b/>
          <w:bCs/>
        </w:rPr>
        <w:t>以上“理财产品估值”章节所列的投资品种不代表本理财产品的实际投资范围，本产品实际可投资范围以本产品说明书“投资对象”章节列示为准。</w:t>
      </w:r>
    </w:p>
    <w:p>
      <w:pPr>
        <w:pStyle w:val="17"/>
        <w:ind w:left="480"/>
        <w:contextualSpacing/>
        <w:rPr>
          <w:rFonts w:ascii="仿宋" w:hAnsi="仿宋" w:eastAsia="仿宋"/>
        </w:rPr>
      </w:pPr>
      <w:r>
        <w:rPr>
          <w:rFonts w:hint="eastAsia" w:ascii="仿宋" w:hAnsi="仿宋" w:eastAsia="仿宋"/>
        </w:rPr>
        <w:t>（五）暂停</w:t>
      </w:r>
      <w:r>
        <w:rPr>
          <w:rFonts w:ascii="仿宋" w:hAnsi="仿宋" w:eastAsia="仿宋"/>
        </w:rPr>
        <w:t>估值</w:t>
      </w:r>
    </w:p>
    <w:p>
      <w:pPr>
        <w:pStyle w:val="17"/>
        <w:snapToGrid w:val="0"/>
        <w:spacing w:line="276" w:lineRule="auto"/>
        <w:ind w:firstLine="482"/>
        <w:contextualSpacing/>
        <w:rPr>
          <w:rFonts w:ascii="仿宋" w:hAnsi="仿宋" w:eastAsia="仿宋"/>
          <w:b/>
          <w:bCs/>
        </w:rPr>
      </w:pPr>
      <w:r>
        <w:rPr>
          <w:rFonts w:hint="eastAsia" w:ascii="仿宋" w:hAnsi="仿宋" w:eastAsia="仿宋"/>
          <w:b/>
          <w:bCs/>
        </w:rPr>
        <w:t>在发生下列情形之一的，管理人可以暂停本理财产品估值：</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1.理财产品投资所涉及的市场遇法定节假日或因其他原因暂停营业。</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2.因不可抗力或其他情形致使管理人、托管人无法准确评估资产价值。</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3.占前一估值日产品资产净值50%以上的资产不具备活跃交易市场或者在活跃市场中无报价且采用估值技术仍导致公允价值存在重大不确定性时，管理人为保障投资者的利益，经与托管人协商一致，理财产品应当暂停估值。</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4.监管机构认定或管理人、托管人有合理理由认为将影响本理财产品估值的其它情形。</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（六）</w:t>
      </w:r>
      <w:r>
        <w:rPr>
          <w:rFonts w:ascii="仿宋" w:hAnsi="仿宋" w:eastAsia="仿宋" w:cs="宋体"/>
          <w:color w:val="000000"/>
          <w:kern w:val="0"/>
          <w:sz w:val="24"/>
        </w:rPr>
        <w:t>估值</w:t>
      </w:r>
      <w:r>
        <w:rPr>
          <w:rFonts w:hint="eastAsia" w:ascii="仿宋" w:hAnsi="仿宋" w:eastAsia="仿宋" w:cs="宋体"/>
          <w:color w:val="000000"/>
          <w:kern w:val="0"/>
          <w:sz w:val="24"/>
        </w:rPr>
        <w:t>错误的</w:t>
      </w:r>
      <w:r>
        <w:rPr>
          <w:rFonts w:ascii="仿宋" w:hAnsi="仿宋" w:eastAsia="仿宋" w:cs="宋体"/>
          <w:color w:val="000000"/>
          <w:kern w:val="0"/>
          <w:sz w:val="24"/>
        </w:rPr>
        <w:t>处理</w:t>
      </w:r>
    </w:p>
    <w:p>
      <w:pPr>
        <w:pStyle w:val="17"/>
        <w:snapToGrid w:val="0"/>
        <w:spacing w:line="276" w:lineRule="auto"/>
        <w:ind w:firstLine="480" w:firstLineChars="200"/>
        <w:contextualSpacing/>
        <w:rPr>
          <w:rFonts w:ascii="Times New Roman" w:eastAsia="黑体" w:cs="Times New Roman"/>
          <w:b/>
          <w:color w:val="auto"/>
        </w:rPr>
      </w:pPr>
      <w:r>
        <w:rPr>
          <w:rFonts w:hint="eastAsia" w:ascii="仿宋" w:hAnsi="仿宋" w:eastAsia="仿宋" w:cs="仿宋"/>
        </w:rPr>
        <w:t>管理人和托管人将采取必要、适当、合理的措施确保产品资产估值的准确性、及时性。当万份收益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hint="eastAsia" w:ascii="仿宋" w:hAnsi="仿宋" w:eastAsia="仿宋" w:cs="仿宋"/>
          <w:b/>
        </w:rPr>
        <w:t>当估值出现错误时，因估值错误而获得不当得利的投资者负有及时返还不当得利的义务。</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风险揭示</w:t>
      </w:r>
    </w:p>
    <w:p>
      <w:pPr>
        <w:pStyle w:val="17"/>
        <w:snapToGrid w:val="0"/>
        <w:spacing w:line="276" w:lineRule="auto"/>
        <w:ind w:firstLine="480" w:firstLineChars="200"/>
        <w:contextualSpacing/>
        <w:jc w:val="both"/>
        <w:rPr>
          <w:rFonts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资产管理计划管理人、债务人、担保人（如有）等相关主体发生违约，可能导致无法按时支付本金及理财收益，进而导致本理财产品收益为零甚至本金遭受损失。</w:t>
      </w:r>
    </w:p>
    <w:p>
      <w:pPr>
        <w:pStyle w:val="17"/>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w:t>
      </w:r>
      <w:r>
        <w:rPr>
          <w:rFonts w:hint="eastAsia" w:ascii="Times New Roman" w:eastAsia="黑体" w:cs="Times New Roman"/>
          <w:b/>
        </w:rPr>
        <w:t>资产</w:t>
      </w:r>
      <w:r>
        <w:rPr>
          <w:rFonts w:ascii="Times New Roman" w:eastAsia="黑体" w:cs="Times New Roman"/>
          <w:b/>
        </w:rPr>
        <w:t>净值遭受损失的可能。</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管理人</w:t>
      </w:r>
      <w:r>
        <w:rPr>
          <w:rFonts w:eastAsia="黑体"/>
          <w:b/>
        </w:rPr>
        <w:t>不受理</w:t>
      </w:r>
      <w:r>
        <w:rPr>
          <w:rFonts w:hint="eastAsia" w:eastAsia="黑体"/>
          <w:b/>
        </w:rPr>
        <w:t>投资者</w:t>
      </w:r>
      <w:r>
        <w:rPr>
          <w:rFonts w:eastAsia="黑体"/>
          <w:b/>
        </w:rPr>
        <w:t>任何形式的提前赎回申请。以上情形均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代销机构对本理财产品的任何收益承诺。</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17"/>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17"/>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（十）延期风险：对于有确定到期日的理财产品，</w:t>
      </w:r>
      <w:r>
        <w:rPr>
          <w:rFonts w:eastAsia="黑体"/>
          <w:b/>
        </w:rPr>
        <w:t>如因与</w:t>
      </w:r>
      <w:r>
        <w:rPr>
          <w:rFonts w:hint="eastAsia" w:eastAsia="黑体"/>
          <w:b/>
        </w:rPr>
        <w:t>理财</w:t>
      </w:r>
      <w:r>
        <w:rPr>
          <w:rFonts w:eastAsia="黑体"/>
          <w:b/>
        </w:rPr>
        <w:t>产品投资资产相关的</w:t>
      </w:r>
      <w:r>
        <w:rPr>
          <w:rFonts w:hint="eastAsia" w:eastAsia="黑体"/>
          <w:b/>
        </w:rPr>
        <w:t>资产管理计划管理人、</w:t>
      </w:r>
      <w:r>
        <w:rPr>
          <w:rFonts w:eastAsia="黑体"/>
          <w:b/>
        </w:rPr>
        <w:t>债务人、担保人（如有）等主体发生违约，导致本理财产品不能按时偿</w:t>
      </w:r>
      <w:r>
        <w:rPr>
          <w:rFonts w:hint="eastAsia" w:eastAsia="黑体"/>
          <w:b/>
        </w:rPr>
        <w:t>付理财</w:t>
      </w:r>
      <w:r>
        <w:rPr>
          <w:rFonts w:eastAsia="黑体"/>
          <w:b/>
        </w:rPr>
        <w:t>本金及收益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二）或有风险：本理财产品根据每日理财产品收益情况，以每万份理财产品份额已实现收益为基准，为客户每日计算当日收益，并将该收益结转为产品份额。因此，当客户持有份额较低时，由于本理财产品估值方式/收益结转规则等原因可能导致客户无法获取理财收益。</w:t>
      </w:r>
    </w:p>
    <w:p>
      <w:pPr>
        <w:pStyle w:val="17"/>
        <w:snapToGrid w:val="0"/>
        <w:spacing w:line="276" w:lineRule="auto"/>
        <w:ind w:firstLine="482"/>
        <w:contextualSpacing/>
        <w:jc w:val="both"/>
        <w:rPr>
          <w:rFonts w:ascii="Times New Roman" w:eastAsia="黑体" w:cs="Times New Roman"/>
          <w:b/>
          <w:color w:val="auto"/>
        </w:rPr>
      </w:pPr>
      <w:r>
        <w:rPr>
          <w:rFonts w:hint="eastAsia" w:ascii="Times New Roman" w:eastAsia="黑体" w:cs="Times New Roman"/>
          <w:b/>
        </w:rPr>
        <w:t>（十三）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资产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（十四）拟投资市场及资产的流动性风险评估</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w:t>
      </w:r>
    </w:p>
    <w:p>
      <w:pPr>
        <w:pStyle w:val="17"/>
        <w:snapToGrid w:val="0"/>
        <w:spacing w:line="276" w:lineRule="auto"/>
        <w:ind w:firstLine="482" w:firstLineChars="200"/>
        <w:contextualSpacing/>
        <w:jc w:val="both"/>
        <w:rPr>
          <w:rFonts w:ascii="仿宋" w:hAnsi="仿宋" w:eastAsia="仿宋"/>
          <w:bCs/>
          <w:szCs w:val="21"/>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（十五）流动性应对措施及对投资者的潜在影响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1．认（申）购风险应对措施及对投资者的潜在影响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四、认购、申购、赎回”。</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当管理人采用认（申）购风险应对措施时，可能对投资者造成一定的潜在影响，包括但不限于不能认（申）购本理财产品、认（申）购交易全部或部分确认失败等。</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2．赎回风险应对措施及对投资者的潜在影响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以及监管机构规定的其他风险应对措施。具体详见本理财产品说明书“一、产品概述”及“四、认购、申购、赎回”。</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当管理人实施赎回流动性风险应对措施时，可能对投资者造成一定的潜在影响，包括但不限于赎回交易全部或部分确认失败、赎回款项延迟到账、增加申赎成本或产生赎回费用等。</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（十六）其他风险：由于自然灾害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导致理财产品所投资资产收益降低或损失，甚至影响理财产品的受理、投资、偿还等的正常进行，进而影响理财产品的投资收益和本金安全。</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披露本理财产品信息，披露事项包括理财产品成立、不成立、净值、到期、提前终止、调整等内容。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w:t>
      </w:r>
      <w:r>
        <w:rPr>
          <w:rFonts w:hint="eastAsia" w:ascii="仿宋" w:hAnsi="仿宋" w:eastAsia="仿宋" w:cs="宋体"/>
          <w:color w:val="000000"/>
          <w:kern w:val="0"/>
          <w:sz w:val="24"/>
        </w:rPr>
        <w:t>理财</w:t>
      </w:r>
      <w:r>
        <w:rPr>
          <w:rFonts w:ascii="仿宋" w:hAnsi="仿宋" w:eastAsia="仿宋" w:cs="宋体"/>
          <w:color w:val="000000"/>
          <w:kern w:val="0"/>
          <w:sz w:val="24"/>
        </w:rPr>
        <w:t>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理财产品季度、半年和年度报告中披露理财产品组合资产情况及其流动性风险分析。</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理财产品半年和年度报告中披露报告期末本产品前10名投资者的类别、持有份额及占总份额的比例等信息。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仿宋"/>
          <w:kern w:val="0"/>
          <w:sz w:val="24"/>
        </w:rPr>
        <w:t>除银保监会认定的特殊情形外，如出现单一投资者持有本产品份额达到或者超过产品总份额20%的情形，为保障其他投资者的权益，</w:t>
      </w:r>
      <w:r>
        <w:rPr>
          <w:rFonts w:hint="eastAsia" w:ascii="仿宋" w:hAnsi="仿宋" w:eastAsia="仿宋" w:cs="宋体"/>
          <w:color w:val="000000"/>
          <w:kern w:val="0"/>
          <w:sz w:val="24"/>
        </w:rPr>
        <w:t>管理人将</w:t>
      </w:r>
      <w:r>
        <w:rPr>
          <w:rFonts w:hint="eastAsia" w:ascii="仿宋" w:hAnsi="仿宋" w:eastAsia="仿宋" w:cs="仿宋"/>
          <w:kern w:val="0"/>
          <w:sz w:val="24"/>
        </w:rPr>
        <w:t>在定期报告中披露该投资者的类别、持有份额及占比、持有份额变化情况及产品风险等信息</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通过本产品说明书约定的信息披露渠道发布相关公告</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．本理财产品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“估值日”</w:t>
      </w:r>
      <w:r>
        <w:rPr>
          <w:rFonts w:ascii="仿宋" w:hAnsi="仿宋" w:eastAsia="仿宋" w:cs="宋体"/>
          <w:kern w:val="0"/>
          <w:sz w:val="24"/>
        </w:rPr>
        <w:t>约定披露</w:t>
      </w:r>
      <w:r>
        <w:rPr>
          <w:rFonts w:hint="eastAsia" w:ascii="仿宋" w:hAnsi="仿宋" w:eastAsia="仿宋" w:cs="宋体"/>
          <w:kern w:val="0"/>
          <w:sz w:val="24"/>
        </w:rPr>
        <w:t>每万份理财产品份额已实现收益和七日年化收益率。</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根据监管规定及业务需要，管理人可进行临时信息披露，涉及事项包括但不限于：管理人、托管人发生变更，</w:t>
      </w:r>
      <w:r>
        <w:rPr>
          <w:rFonts w:ascii="仿宋" w:hAnsi="仿宋" w:eastAsia="仿宋" w:cs="宋体"/>
          <w:kern w:val="0"/>
          <w:sz w:val="24"/>
        </w:rPr>
        <w:t>调整</w:t>
      </w:r>
      <w:r>
        <w:rPr>
          <w:rFonts w:hint="eastAsia" w:ascii="仿宋" w:hAnsi="仿宋" w:eastAsia="仿宋" w:cs="宋体"/>
          <w:kern w:val="0"/>
          <w:sz w:val="24"/>
        </w:rPr>
        <w:t>业绩比较基准以及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日内通过本产品说明书约定的信息披露渠道予以披露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管理人</w:t>
      </w:r>
      <w:r>
        <w:rPr>
          <w:rFonts w:hint="eastAsia" w:ascii="仿宋" w:hAnsi="仿宋" w:eastAsia="仿宋" w:cs="宋体"/>
          <w:kern w:val="0"/>
          <w:sz w:val="24"/>
        </w:rPr>
        <w:t>有权调整管理费（含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收费项目、条件、标准和方式，并</w:t>
      </w:r>
      <w:r>
        <w:rPr>
          <w:rFonts w:ascii="仿宋" w:hAnsi="仿宋" w:eastAsia="仿宋" w:cs="宋体"/>
          <w:color w:val="000000"/>
          <w:kern w:val="0"/>
          <w:sz w:val="24"/>
        </w:rPr>
        <w:t>将于</w:t>
      </w:r>
      <w:r>
        <w:rPr>
          <w:rFonts w:hint="eastAsia" w:ascii="仿宋" w:hAnsi="仿宋" w:eastAsia="仿宋" w:cs="宋体"/>
          <w:color w:val="000000"/>
          <w:kern w:val="0"/>
          <w:sz w:val="24"/>
        </w:rPr>
        <w:t>上述调整生效</w:t>
      </w:r>
      <w:r>
        <w:rPr>
          <w:rFonts w:ascii="仿宋" w:hAnsi="仿宋" w:eastAsia="仿宋" w:cs="宋体"/>
          <w:color w:val="000000"/>
          <w:kern w:val="0"/>
          <w:sz w:val="24"/>
        </w:rPr>
        <w:t>日的前3个工作日</w:t>
      </w:r>
      <w:r>
        <w:rPr>
          <w:rFonts w:hint="eastAsia" w:ascii="仿宋" w:hAnsi="仿宋" w:eastAsia="仿宋" w:cs="宋体"/>
          <w:kern w:val="0"/>
          <w:sz w:val="24"/>
        </w:rPr>
        <w:t>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提前赎回本理财产品。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w:t>
      </w:r>
      <w:r>
        <w:rPr>
          <w:rFonts w:ascii="仿宋" w:hAnsi="仿宋" w:eastAsia="仿宋" w:cs="宋体"/>
          <w:kern w:val="0"/>
          <w:sz w:val="24"/>
        </w:rPr>
        <w:t>管理人</w:t>
      </w:r>
      <w:r>
        <w:rPr>
          <w:rFonts w:hint="eastAsia" w:ascii="仿宋" w:hAnsi="仿宋" w:eastAsia="仿宋" w:cs="宋体"/>
          <w:kern w:val="0"/>
          <w:sz w:val="24"/>
        </w:rPr>
        <w:t>有权根据市场情况调整本理财产品</w:t>
      </w:r>
      <w:r>
        <w:rPr>
          <w:rFonts w:ascii="仿宋" w:hAnsi="仿宋" w:eastAsia="仿宋" w:cs="宋体"/>
          <w:kern w:val="0"/>
          <w:sz w:val="24"/>
        </w:rPr>
        <w:t>的</w:t>
      </w:r>
      <w:r>
        <w:rPr>
          <w:rFonts w:hint="eastAsia" w:ascii="仿宋" w:hAnsi="仿宋" w:eastAsia="仿宋" w:cs="宋体"/>
          <w:kern w:val="0"/>
          <w:sz w:val="24"/>
        </w:rPr>
        <w:t>投资范围、投资资产种类或投资比例，并通过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仿宋"/>
          <w:b/>
          <w:kern w:val="0"/>
          <w:sz w:val="24"/>
        </w:rPr>
      </w:pPr>
      <w:r>
        <w:rPr>
          <w:rFonts w:ascii="仿宋" w:hAnsi="仿宋" w:eastAsia="仿宋" w:cs="宋体"/>
          <w:kern w:val="0"/>
          <w:sz w:val="24"/>
        </w:rPr>
        <w:t>5</w:t>
      </w:r>
      <w:r>
        <w:rPr>
          <w:rFonts w:hint="eastAsia" w:ascii="仿宋" w:hAnsi="仿宋" w:eastAsia="仿宋" w:cs="宋体"/>
          <w:kern w:val="0"/>
          <w:sz w:val="24"/>
        </w:rPr>
        <w:t>.</w:t>
      </w:r>
      <w:r>
        <w:rPr>
          <w:rFonts w:hint="eastAsia" w:ascii="仿宋" w:hAnsi="仿宋" w:eastAsia="仿宋" w:cs="仿宋"/>
          <w:kern w:val="0"/>
          <w:sz w:val="24"/>
        </w:rPr>
        <w:t>在发生涉及理财产品认（申）购、赎回事项调整或潜在影响投资者赎回等事项时，</w:t>
      </w:r>
      <w:r>
        <w:rPr>
          <w:rFonts w:ascii="仿宋" w:hAnsi="仿宋" w:eastAsia="仿宋" w:cs="宋体"/>
          <w:kern w:val="0"/>
          <w:sz w:val="24"/>
        </w:rPr>
        <w:t>管理人</w:t>
      </w:r>
      <w:r>
        <w:rPr>
          <w:rFonts w:hint="eastAsia" w:ascii="仿宋" w:hAnsi="仿宋" w:eastAsia="仿宋" w:cs="仿宋"/>
          <w:kern w:val="0"/>
          <w:sz w:val="24"/>
        </w:rPr>
        <w:t>将通过</w:t>
      </w:r>
      <w:r>
        <w:rPr>
          <w:rFonts w:hint="eastAsia" w:ascii="仿宋" w:hAnsi="仿宋" w:eastAsia="仿宋" w:cs="宋体"/>
          <w:color w:val="000000"/>
          <w:kern w:val="0"/>
          <w:sz w:val="24"/>
        </w:rPr>
        <w:t>本产品说明书约定的信息披露渠道</w:t>
      </w:r>
      <w:r>
        <w:rPr>
          <w:rFonts w:hint="eastAsia" w:ascii="仿宋" w:hAnsi="仿宋" w:eastAsia="仿宋" w:cs="仿宋"/>
          <w:kern w:val="0"/>
          <w:sz w:val="24"/>
        </w:rPr>
        <w:t>发布临时公告。</w:t>
      </w:r>
    </w:p>
    <w:p>
      <w:pPr>
        <w:autoSpaceDE w:val="0"/>
        <w:autoSpaceDN w:val="0"/>
        <w:adjustRightInd w:val="0"/>
        <w:snapToGrid w:val="0"/>
        <w:spacing w:line="276" w:lineRule="auto"/>
        <w:ind w:firstLine="480" w:firstLineChars="200"/>
        <w:rPr>
          <w:rFonts w:ascii="仿宋" w:hAnsi="仿宋" w:eastAsia="仿宋" w:cs="仿宋"/>
          <w:kern w:val="0"/>
          <w:sz w:val="24"/>
        </w:rPr>
      </w:pPr>
      <w:r>
        <w:rPr>
          <w:rFonts w:ascii="仿宋" w:hAnsi="仿宋" w:eastAsia="仿宋" w:cs="宋体"/>
          <w:kern w:val="0"/>
          <w:sz w:val="24"/>
        </w:rPr>
        <w:t>6</w:t>
      </w:r>
      <w:r>
        <w:rPr>
          <w:rFonts w:hint="eastAsia" w:ascii="仿宋" w:hAnsi="仿宋" w:eastAsia="仿宋" w:cs="宋体"/>
          <w:kern w:val="0"/>
          <w:sz w:val="24"/>
        </w:rPr>
        <w:t>.</w:t>
      </w:r>
      <w:r>
        <w:rPr>
          <w:rFonts w:hint="eastAsia" w:ascii="仿宋" w:hAnsi="仿宋" w:eastAsia="仿宋" w:cs="仿宋"/>
          <w:kern w:val="0"/>
          <w:sz w:val="24"/>
        </w:rPr>
        <w:t>在运用收取短期赎回费等措施后，</w:t>
      </w:r>
      <w:r>
        <w:rPr>
          <w:rFonts w:hint="eastAsia" w:ascii="仿宋" w:hAnsi="仿宋" w:eastAsia="仿宋" w:cs="宋体"/>
          <w:kern w:val="0"/>
          <w:sz w:val="24"/>
        </w:rPr>
        <w:t>管理人将</w:t>
      </w:r>
      <w:r>
        <w:rPr>
          <w:rFonts w:hint="eastAsia" w:ascii="仿宋" w:hAnsi="仿宋" w:eastAsia="仿宋" w:cs="仿宋"/>
          <w:kern w:val="0"/>
          <w:sz w:val="24"/>
        </w:rPr>
        <w:t>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7．</w:t>
      </w:r>
      <w:r>
        <w:rPr>
          <w:rFonts w:hint="eastAsia" w:ascii="仿宋" w:hAnsi="仿宋" w:eastAsia="仿宋" w:cs="仿宋"/>
          <w:kern w:val="0"/>
          <w:sz w:val="24"/>
        </w:rPr>
        <w:t>在运用暂停认（申）购、延期办理巨额赎回申请、暂停接受赎回申请、延缓支付赎回款项、暂停理财产品估值等措施后，</w:t>
      </w:r>
      <w:r>
        <w:rPr>
          <w:rFonts w:hint="eastAsia" w:ascii="仿宋" w:hAnsi="仿宋" w:eastAsia="仿宋" w:cs="宋体"/>
          <w:kern w:val="0"/>
          <w:sz w:val="24"/>
        </w:rPr>
        <w:t>管理人</w:t>
      </w:r>
      <w:r>
        <w:rPr>
          <w:rFonts w:hint="eastAsia" w:ascii="仿宋" w:hAnsi="仿宋" w:eastAsia="仿宋" w:cs="仿宋"/>
          <w:kern w:val="0"/>
          <w:sz w:val="24"/>
        </w:rPr>
        <w:t>将在3个工作日内，通过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相关信息，并说明运用相关措施的原因、拟采取的应对安排等。</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kern w:val="0"/>
          <w:sz w:val="24"/>
        </w:rPr>
        <w:t>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（四）投资者关于信息披露的确认</w:t>
      </w:r>
    </w:p>
    <w:p>
      <w:pPr>
        <w:autoSpaceDE w:val="0"/>
        <w:autoSpaceDN w:val="0"/>
        <w:adjustRightInd w:val="0"/>
        <w:snapToGrid w:val="0"/>
        <w:spacing w:line="276" w:lineRule="auto"/>
        <w:ind w:firstLine="480" w:firstLineChars="200"/>
        <w:contextualSpacing/>
        <w:rPr>
          <w:rFonts w:ascii="仿宋" w:hAnsi="仿宋" w:eastAsia="仿宋"/>
        </w:rPr>
      </w:pPr>
      <w:r>
        <w:rPr>
          <w:rFonts w:hint="eastAsia" w:ascii="仿宋" w:hAnsi="仿宋" w:eastAsia="仿宋" w:cs="宋体"/>
          <w:kern w:val="0"/>
          <w:sz w:val="24"/>
        </w:rPr>
        <w:t>投资者确认并同意管理人可以通过上述方式披露理财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w:t>
      </w:r>
      <w:r>
        <w:rPr>
          <w:rFonts w:hint="eastAsia" w:ascii="仿宋" w:hAnsi="仿宋" w:eastAsia="仿宋" w:cs="宋体"/>
          <w:color w:val="000000"/>
          <w:kern w:val="0"/>
          <w:sz w:val="24"/>
        </w:rPr>
        <w:t>理财</w:t>
      </w:r>
      <w:r>
        <w:rPr>
          <w:rFonts w:ascii="仿宋" w:hAnsi="仿宋" w:eastAsia="仿宋" w:cs="宋体"/>
          <w:color w:val="000000"/>
          <w:kern w:val="0"/>
          <w:sz w:val="24"/>
        </w:rPr>
        <w:t>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17"/>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九、说明书签署及生效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如客户通过华夏理财/代销机构电子渠道购买本理财产品，本产品说明书自客户通过电子渠道确认同意，完成购买资金划付，并经华夏理财系统确认购买份额之日起生效。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管理人：华夏理财有限责任公司 </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微软简仿宋">
    <w:panose1 w:val="00000000000000000000"/>
    <w:charset w:val="86"/>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172A27"/>
    <w:rsid w:val="000144B9"/>
    <w:rsid w:val="00020F81"/>
    <w:rsid w:val="0004485A"/>
    <w:rsid w:val="00044B7F"/>
    <w:rsid w:val="0004783E"/>
    <w:rsid w:val="00053731"/>
    <w:rsid w:val="00063561"/>
    <w:rsid w:val="00070A84"/>
    <w:rsid w:val="000713E1"/>
    <w:rsid w:val="000805E4"/>
    <w:rsid w:val="00085777"/>
    <w:rsid w:val="00092E28"/>
    <w:rsid w:val="000932F8"/>
    <w:rsid w:val="000973A7"/>
    <w:rsid w:val="000A2EE9"/>
    <w:rsid w:val="000A356B"/>
    <w:rsid w:val="000A3C07"/>
    <w:rsid w:val="000B2154"/>
    <w:rsid w:val="000B32CF"/>
    <w:rsid w:val="000D002A"/>
    <w:rsid w:val="000D7DE2"/>
    <w:rsid w:val="000E195A"/>
    <w:rsid w:val="000E7B82"/>
    <w:rsid w:val="001021A5"/>
    <w:rsid w:val="001074ED"/>
    <w:rsid w:val="00111BDB"/>
    <w:rsid w:val="0011683A"/>
    <w:rsid w:val="001260F4"/>
    <w:rsid w:val="001318D7"/>
    <w:rsid w:val="001352EF"/>
    <w:rsid w:val="00141481"/>
    <w:rsid w:val="001423F3"/>
    <w:rsid w:val="00142652"/>
    <w:rsid w:val="00146323"/>
    <w:rsid w:val="00167A6E"/>
    <w:rsid w:val="00170760"/>
    <w:rsid w:val="00172A27"/>
    <w:rsid w:val="001B29E5"/>
    <w:rsid w:val="001B2C46"/>
    <w:rsid w:val="001B41BF"/>
    <w:rsid w:val="001E4307"/>
    <w:rsid w:val="001E47F0"/>
    <w:rsid w:val="001F21AD"/>
    <w:rsid w:val="001F4C9F"/>
    <w:rsid w:val="002027A2"/>
    <w:rsid w:val="00203B96"/>
    <w:rsid w:val="00214B23"/>
    <w:rsid w:val="00216CAD"/>
    <w:rsid w:val="002473CD"/>
    <w:rsid w:val="00265998"/>
    <w:rsid w:val="00293AA7"/>
    <w:rsid w:val="00294355"/>
    <w:rsid w:val="002A2967"/>
    <w:rsid w:val="002A2FEF"/>
    <w:rsid w:val="002A6B8E"/>
    <w:rsid w:val="002A7531"/>
    <w:rsid w:val="002C78F6"/>
    <w:rsid w:val="002C7F16"/>
    <w:rsid w:val="002E5919"/>
    <w:rsid w:val="002E6556"/>
    <w:rsid w:val="002E7501"/>
    <w:rsid w:val="002E7F9D"/>
    <w:rsid w:val="002F0556"/>
    <w:rsid w:val="002F54CD"/>
    <w:rsid w:val="00311EF5"/>
    <w:rsid w:val="003248AF"/>
    <w:rsid w:val="00341E51"/>
    <w:rsid w:val="00351C38"/>
    <w:rsid w:val="003522B1"/>
    <w:rsid w:val="00365E5C"/>
    <w:rsid w:val="00367563"/>
    <w:rsid w:val="003923B3"/>
    <w:rsid w:val="003A216B"/>
    <w:rsid w:val="003B43C0"/>
    <w:rsid w:val="003C0388"/>
    <w:rsid w:val="003C51E8"/>
    <w:rsid w:val="003D55AF"/>
    <w:rsid w:val="003D65A8"/>
    <w:rsid w:val="003D741B"/>
    <w:rsid w:val="003E4BEB"/>
    <w:rsid w:val="003F2F78"/>
    <w:rsid w:val="003F5AF4"/>
    <w:rsid w:val="003F6114"/>
    <w:rsid w:val="004021F4"/>
    <w:rsid w:val="0042748A"/>
    <w:rsid w:val="004335E1"/>
    <w:rsid w:val="0043490E"/>
    <w:rsid w:val="00440CBD"/>
    <w:rsid w:val="0045546E"/>
    <w:rsid w:val="00462536"/>
    <w:rsid w:val="004734C8"/>
    <w:rsid w:val="00474458"/>
    <w:rsid w:val="004826D2"/>
    <w:rsid w:val="00484075"/>
    <w:rsid w:val="00494748"/>
    <w:rsid w:val="004B06AD"/>
    <w:rsid w:val="004B07F8"/>
    <w:rsid w:val="004C1CD0"/>
    <w:rsid w:val="004C4084"/>
    <w:rsid w:val="004C6D16"/>
    <w:rsid w:val="004C6E9C"/>
    <w:rsid w:val="004D4B19"/>
    <w:rsid w:val="004E7D97"/>
    <w:rsid w:val="004F0884"/>
    <w:rsid w:val="004F4E81"/>
    <w:rsid w:val="004F648F"/>
    <w:rsid w:val="00501BB4"/>
    <w:rsid w:val="0050363E"/>
    <w:rsid w:val="005114E6"/>
    <w:rsid w:val="00512B7C"/>
    <w:rsid w:val="0051728B"/>
    <w:rsid w:val="00524B47"/>
    <w:rsid w:val="00532BEE"/>
    <w:rsid w:val="00554B78"/>
    <w:rsid w:val="005604F6"/>
    <w:rsid w:val="00560CC1"/>
    <w:rsid w:val="005727C8"/>
    <w:rsid w:val="00575B6E"/>
    <w:rsid w:val="00576EC5"/>
    <w:rsid w:val="005835EB"/>
    <w:rsid w:val="0058669B"/>
    <w:rsid w:val="005B536D"/>
    <w:rsid w:val="005C08EC"/>
    <w:rsid w:val="005C120E"/>
    <w:rsid w:val="005C1CE0"/>
    <w:rsid w:val="005D3AAF"/>
    <w:rsid w:val="005E4DED"/>
    <w:rsid w:val="005F0094"/>
    <w:rsid w:val="005F45E5"/>
    <w:rsid w:val="005F66E4"/>
    <w:rsid w:val="005F6DC4"/>
    <w:rsid w:val="005F7E82"/>
    <w:rsid w:val="00602ED4"/>
    <w:rsid w:val="00603144"/>
    <w:rsid w:val="006075D0"/>
    <w:rsid w:val="00613BD1"/>
    <w:rsid w:val="00656FE9"/>
    <w:rsid w:val="00664059"/>
    <w:rsid w:val="00670595"/>
    <w:rsid w:val="00677437"/>
    <w:rsid w:val="00681E3A"/>
    <w:rsid w:val="0068328B"/>
    <w:rsid w:val="006860DD"/>
    <w:rsid w:val="0069073D"/>
    <w:rsid w:val="006915E0"/>
    <w:rsid w:val="0069363A"/>
    <w:rsid w:val="00697979"/>
    <w:rsid w:val="006D3A14"/>
    <w:rsid w:val="006D53D0"/>
    <w:rsid w:val="006E0E9D"/>
    <w:rsid w:val="006E742E"/>
    <w:rsid w:val="006F119A"/>
    <w:rsid w:val="006F2EAC"/>
    <w:rsid w:val="006F3678"/>
    <w:rsid w:val="006F50CA"/>
    <w:rsid w:val="00712CC7"/>
    <w:rsid w:val="00734A0B"/>
    <w:rsid w:val="00734D46"/>
    <w:rsid w:val="007400C3"/>
    <w:rsid w:val="00741B26"/>
    <w:rsid w:val="0076343F"/>
    <w:rsid w:val="00765DA1"/>
    <w:rsid w:val="0076606B"/>
    <w:rsid w:val="00775F6F"/>
    <w:rsid w:val="00777429"/>
    <w:rsid w:val="007815CF"/>
    <w:rsid w:val="00785CAB"/>
    <w:rsid w:val="00792744"/>
    <w:rsid w:val="007A054C"/>
    <w:rsid w:val="007B389C"/>
    <w:rsid w:val="007B48AD"/>
    <w:rsid w:val="007B5822"/>
    <w:rsid w:val="007D22F9"/>
    <w:rsid w:val="007E6FA9"/>
    <w:rsid w:val="007F32C1"/>
    <w:rsid w:val="008137C7"/>
    <w:rsid w:val="008277B6"/>
    <w:rsid w:val="00833D92"/>
    <w:rsid w:val="0083661A"/>
    <w:rsid w:val="00836CF0"/>
    <w:rsid w:val="00843345"/>
    <w:rsid w:val="00846F1F"/>
    <w:rsid w:val="00852D93"/>
    <w:rsid w:val="00863612"/>
    <w:rsid w:val="00864B44"/>
    <w:rsid w:val="00870823"/>
    <w:rsid w:val="00874410"/>
    <w:rsid w:val="00887E73"/>
    <w:rsid w:val="0089364D"/>
    <w:rsid w:val="008A17A7"/>
    <w:rsid w:val="008A4738"/>
    <w:rsid w:val="008D19F3"/>
    <w:rsid w:val="008D5335"/>
    <w:rsid w:val="008D5F85"/>
    <w:rsid w:val="008E0C40"/>
    <w:rsid w:val="008F6891"/>
    <w:rsid w:val="00902123"/>
    <w:rsid w:val="0091493F"/>
    <w:rsid w:val="00916782"/>
    <w:rsid w:val="009267C7"/>
    <w:rsid w:val="00944E6A"/>
    <w:rsid w:val="00971A91"/>
    <w:rsid w:val="00972105"/>
    <w:rsid w:val="0097734D"/>
    <w:rsid w:val="00991FA8"/>
    <w:rsid w:val="009941FD"/>
    <w:rsid w:val="009A3572"/>
    <w:rsid w:val="009A3901"/>
    <w:rsid w:val="009A4903"/>
    <w:rsid w:val="009A5350"/>
    <w:rsid w:val="009B3182"/>
    <w:rsid w:val="009B7074"/>
    <w:rsid w:val="009C0A85"/>
    <w:rsid w:val="009C16E3"/>
    <w:rsid w:val="009C4B76"/>
    <w:rsid w:val="009C5840"/>
    <w:rsid w:val="009E6D89"/>
    <w:rsid w:val="009E7002"/>
    <w:rsid w:val="009F0D25"/>
    <w:rsid w:val="009F1CB5"/>
    <w:rsid w:val="00A25440"/>
    <w:rsid w:val="00A33474"/>
    <w:rsid w:val="00A35F83"/>
    <w:rsid w:val="00A375DD"/>
    <w:rsid w:val="00A51A90"/>
    <w:rsid w:val="00A547BE"/>
    <w:rsid w:val="00A55E93"/>
    <w:rsid w:val="00A87692"/>
    <w:rsid w:val="00A92C8C"/>
    <w:rsid w:val="00A93593"/>
    <w:rsid w:val="00A95EB7"/>
    <w:rsid w:val="00A978E7"/>
    <w:rsid w:val="00AA7D8A"/>
    <w:rsid w:val="00AC3282"/>
    <w:rsid w:val="00AD7FE0"/>
    <w:rsid w:val="00AE1B0B"/>
    <w:rsid w:val="00AF3F07"/>
    <w:rsid w:val="00B0003E"/>
    <w:rsid w:val="00B2620A"/>
    <w:rsid w:val="00B27136"/>
    <w:rsid w:val="00B47C68"/>
    <w:rsid w:val="00B5695A"/>
    <w:rsid w:val="00B72B76"/>
    <w:rsid w:val="00B72DAB"/>
    <w:rsid w:val="00BA7546"/>
    <w:rsid w:val="00BA77A8"/>
    <w:rsid w:val="00BB4269"/>
    <w:rsid w:val="00BC4B7F"/>
    <w:rsid w:val="00BE076D"/>
    <w:rsid w:val="00BE1EBE"/>
    <w:rsid w:val="00BE4A47"/>
    <w:rsid w:val="00BF19EC"/>
    <w:rsid w:val="00BF3BE3"/>
    <w:rsid w:val="00C0523A"/>
    <w:rsid w:val="00C052EB"/>
    <w:rsid w:val="00C07293"/>
    <w:rsid w:val="00C33E4C"/>
    <w:rsid w:val="00C43092"/>
    <w:rsid w:val="00C83009"/>
    <w:rsid w:val="00CA7549"/>
    <w:rsid w:val="00CC1EEF"/>
    <w:rsid w:val="00CD2B51"/>
    <w:rsid w:val="00CE0ED7"/>
    <w:rsid w:val="00CF6CE2"/>
    <w:rsid w:val="00D04582"/>
    <w:rsid w:val="00D06C20"/>
    <w:rsid w:val="00D10349"/>
    <w:rsid w:val="00D20170"/>
    <w:rsid w:val="00D3110C"/>
    <w:rsid w:val="00D31F9E"/>
    <w:rsid w:val="00D323E8"/>
    <w:rsid w:val="00D3392B"/>
    <w:rsid w:val="00D34745"/>
    <w:rsid w:val="00D429BD"/>
    <w:rsid w:val="00D65353"/>
    <w:rsid w:val="00D7479E"/>
    <w:rsid w:val="00D87E03"/>
    <w:rsid w:val="00D919BF"/>
    <w:rsid w:val="00DA36BD"/>
    <w:rsid w:val="00DB3260"/>
    <w:rsid w:val="00DC3F67"/>
    <w:rsid w:val="00DC602D"/>
    <w:rsid w:val="00DE1921"/>
    <w:rsid w:val="00DE2987"/>
    <w:rsid w:val="00DF0967"/>
    <w:rsid w:val="00E407A1"/>
    <w:rsid w:val="00E44569"/>
    <w:rsid w:val="00E4493B"/>
    <w:rsid w:val="00E46D53"/>
    <w:rsid w:val="00E64B82"/>
    <w:rsid w:val="00E816F5"/>
    <w:rsid w:val="00E879FF"/>
    <w:rsid w:val="00E93B13"/>
    <w:rsid w:val="00E95A0F"/>
    <w:rsid w:val="00E96938"/>
    <w:rsid w:val="00E96A8F"/>
    <w:rsid w:val="00EB07F6"/>
    <w:rsid w:val="00EB0C68"/>
    <w:rsid w:val="00EE1D7F"/>
    <w:rsid w:val="00EE7A2F"/>
    <w:rsid w:val="00F1161D"/>
    <w:rsid w:val="00F1550F"/>
    <w:rsid w:val="00F15940"/>
    <w:rsid w:val="00F31A37"/>
    <w:rsid w:val="00F36652"/>
    <w:rsid w:val="00F37C88"/>
    <w:rsid w:val="00F40BCA"/>
    <w:rsid w:val="00F444A8"/>
    <w:rsid w:val="00F56D69"/>
    <w:rsid w:val="00F76F4B"/>
    <w:rsid w:val="00F9415B"/>
    <w:rsid w:val="00F96177"/>
    <w:rsid w:val="00FC161C"/>
    <w:rsid w:val="00FC1677"/>
    <w:rsid w:val="00FD2903"/>
    <w:rsid w:val="00FE1291"/>
    <w:rsid w:val="00FE482B"/>
    <w:rsid w:val="00FF56AD"/>
    <w:rsid w:val="00FF7933"/>
    <w:rsid w:val="017F1A2D"/>
    <w:rsid w:val="018D5F51"/>
    <w:rsid w:val="01E20B3F"/>
    <w:rsid w:val="01EB6FEC"/>
    <w:rsid w:val="01FE5EB7"/>
    <w:rsid w:val="02377743"/>
    <w:rsid w:val="02A409C3"/>
    <w:rsid w:val="03204429"/>
    <w:rsid w:val="03675632"/>
    <w:rsid w:val="03772BBD"/>
    <w:rsid w:val="03DB06FE"/>
    <w:rsid w:val="04B16B62"/>
    <w:rsid w:val="05215177"/>
    <w:rsid w:val="054A5192"/>
    <w:rsid w:val="05546830"/>
    <w:rsid w:val="05BB571F"/>
    <w:rsid w:val="062067C9"/>
    <w:rsid w:val="06666BF6"/>
    <w:rsid w:val="072E0D88"/>
    <w:rsid w:val="081C2041"/>
    <w:rsid w:val="08417372"/>
    <w:rsid w:val="08497BE8"/>
    <w:rsid w:val="087A37FC"/>
    <w:rsid w:val="087A4BE9"/>
    <w:rsid w:val="08871BED"/>
    <w:rsid w:val="08961A5A"/>
    <w:rsid w:val="08A96CC2"/>
    <w:rsid w:val="08F619C1"/>
    <w:rsid w:val="095345F4"/>
    <w:rsid w:val="0A0F44CD"/>
    <w:rsid w:val="0A2F0E4D"/>
    <w:rsid w:val="0AA97A8C"/>
    <w:rsid w:val="0AE87BC0"/>
    <w:rsid w:val="0AF36C07"/>
    <w:rsid w:val="0B047D48"/>
    <w:rsid w:val="0B9C5D9B"/>
    <w:rsid w:val="0BA27F6B"/>
    <w:rsid w:val="0C4909B7"/>
    <w:rsid w:val="0C490CC3"/>
    <w:rsid w:val="0C510FA4"/>
    <w:rsid w:val="0C9E5955"/>
    <w:rsid w:val="0CD83226"/>
    <w:rsid w:val="0CE572CD"/>
    <w:rsid w:val="0CEB478F"/>
    <w:rsid w:val="0D1B0D60"/>
    <w:rsid w:val="0D286D0A"/>
    <w:rsid w:val="0D3379D2"/>
    <w:rsid w:val="0D511F69"/>
    <w:rsid w:val="0D591559"/>
    <w:rsid w:val="0DC52C23"/>
    <w:rsid w:val="0DC653B7"/>
    <w:rsid w:val="0DD56DF0"/>
    <w:rsid w:val="0DE54F1B"/>
    <w:rsid w:val="0DF70178"/>
    <w:rsid w:val="0E051537"/>
    <w:rsid w:val="0E247DD8"/>
    <w:rsid w:val="0E3C3C0F"/>
    <w:rsid w:val="0E541AF6"/>
    <w:rsid w:val="0E8143FC"/>
    <w:rsid w:val="0E8D60ED"/>
    <w:rsid w:val="0EBE477B"/>
    <w:rsid w:val="0EEC778C"/>
    <w:rsid w:val="0F2862EC"/>
    <w:rsid w:val="0FD53E86"/>
    <w:rsid w:val="0FE53808"/>
    <w:rsid w:val="0FF521BC"/>
    <w:rsid w:val="106632AE"/>
    <w:rsid w:val="117C0D4E"/>
    <w:rsid w:val="11B162FD"/>
    <w:rsid w:val="11BB3DB9"/>
    <w:rsid w:val="11CB222C"/>
    <w:rsid w:val="11D21B30"/>
    <w:rsid w:val="11F421AE"/>
    <w:rsid w:val="121940A5"/>
    <w:rsid w:val="123B658C"/>
    <w:rsid w:val="12756877"/>
    <w:rsid w:val="12CD421A"/>
    <w:rsid w:val="12CD4972"/>
    <w:rsid w:val="12FA2A1E"/>
    <w:rsid w:val="12FB08EA"/>
    <w:rsid w:val="13457262"/>
    <w:rsid w:val="13BB706F"/>
    <w:rsid w:val="13E25BD9"/>
    <w:rsid w:val="142741A0"/>
    <w:rsid w:val="14346DEC"/>
    <w:rsid w:val="144B618F"/>
    <w:rsid w:val="145A1EF2"/>
    <w:rsid w:val="1469754C"/>
    <w:rsid w:val="14915148"/>
    <w:rsid w:val="149C2737"/>
    <w:rsid w:val="149E1BBB"/>
    <w:rsid w:val="14F71E23"/>
    <w:rsid w:val="14FD2EFF"/>
    <w:rsid w:val="15290B88"/>
    <w:rsid w:val="152A1DB0"/>
    <w:rsid w:val="155D4436"/>
    <w:rsid w:val="15DA3B37"/>
    <w:rsid w:val="16002490"/>
    <w:rsid w:val="16457F02"/>
    <w:rsid w:val="16800450"/>
    <w:rsid w:val="168D6A39"/>
    <w:rsid w:val="169510B8"/>
    <w:rsid w:val="16DD4AF1"/>
    <w:rsid w:val="170A0D35"/>
    <w:rsid w:val="17322FFC"/>
    <w:rsid w:val="17387E5D"/>
    <w:rsid w:val="174C5C47"/>
    <w:rsid w:val="178D27B4"/>
    <w:rsid w:val="17CE27A3"/>
    <w:rsid w:val="17E14A76"/>
    <w:rsid w:val="182014A2"/>
    <w:rsid w:val="18294E04"/>
    <w:rsid w:val="182A4C9A"/>
    <w:rsid w:val="1892050E"/>
    <w:rsid w:val="18D80C51"/>
    <w:rsid w:val="18EE0BF6"/>
    <w:rsid w:val="192B2275"/>
    <w:rsid w:val="19835E95"/>
    <w:rsid w:val="19854B76"/>
    <w:rsid w:val="198557BA"/>
    <w:rsid w:val="19997290"/>
    <w:rsid w:val="19B17BB1"/>
    <w:rsid w:val="19D84AF5"/>
    <w:rsid w:val="1A0C2276"/>
    <w:rsid w:val="1A287FEA"/>
    <w:rsid w:val="1A542352"/>
    <w:rsid w:val="1A707A6D"/>
    <w:rsid w:val="1A7D6D25"/>
    <w:rsid w:val="1A816486"/>
    <w:rsid w:val="1A893942"/>
    <w:rsid w:val="1A907FA2"/>
    <w:rsid w:val="1AA37FD6"/>
    <w:rsid w:val="1AD533CC"/>
    <w:rsid w:val="1B2A72DF"/>
    <w:rsid w:val="1B70123A"/>
    <w:rsid w:val="1BA64FD1"/>
    <w:rsid w:val="1BBC5A18"/>
    <w:rsid w:val="1BC93F0E"/>
    <w:rsid w:val="1BE97487"/>
    <w:rsid w:val="1BF32374"/>
    <w:rsid w:val="1C0776AF"/>
    <w:rsid w:val="1C3E4461"/>
    <w:rsid w:val="1C6357AF"/>
    <w:rsid w:val="1CAC5E2B"/>
    <w:rsid w:val="1CC71CB2"/>
    <w:rsid w:val="1CDF5587"/>
    <w:rsid w:val="1CFC6808"/>
    <w:rsid w:val="1D023468"/>
    <w:rsid w:val="1D21524E"/>
    <w:rsid w:val="1D795BF8"/>
    <w:rsid w:val="1D941E49"/>
    <w:rsid w:val="1D964AA9"/>
    <w:rsid w:val="1DD036B2"/>
    <w:rsid w:val="1DD4275F"/>
    <w:rsid w:val="1E2D2CD3"/>
    <w:rsid w:val="1E356AFA"/>
    <w:rsid w:val="1E667538"/>
    <w:rsid w:val="1E724912"/>
    <w:rsid w:val="1F05126A"/>
    <w:rsid w:val="1F0F560D"/>
    <w:rsid w:val="1F772D2E"/>
    <w:rsid w:val="1F816CB6"/>
    <w:rsid w:val="1F83473D"/>
    <w:rsid w:val="1FC2672F"/>
    <w:rsid w:val="201D0297"/>
    <w:rsid w:val="204A0870"/>
    <w:rsid w:val="20815EF5"/>
    <w:rsid w:val="20867430"/>
    <w:rsid w:val="20C822D8"/>
    <w:rsid w:val="22086EAE"/>
    <w:rsid w:val="220D5EC8"/>
    <w:rsid w:val="223431B1"/>
    <w:rsid w:val="22C149FC"/>
    <w:rsid w:val="22F1518B"/>
    <w:rsid w:val="23491522"/>
    <w:rsid w:val="235848D4"/>
    <w:rsid w:val="238C25BD"/>
    <w:rsid w:val="242A57D7"/>
    <w:rsid w:val="24905AFE"/>
    <w:rsid w:val="24A91031"/>
    <w:rsid w:val="24B96681"/>
    <w:rsid w:val="24BD22AA"/>
    <w:rsid w:val="25152CD3"/>
    <w:rsid w:val="251F6054"/>
    <w:rsid w:val="25393374"/>
    <w:rsid w:val="25E06B30"/>
    <w:rsid w:val="25E72FA7"/>
    <w:rsid w:val="260555E3"/>
    <w:rsid w:val="264432C1"/>
    <w:rsid w:val="2644611B"/>
    <w:rsid w:val="269E4826"/>
    <w:rsid w:val="26C402B0"/>
    <w:rsid w:val="26D15FFB"/>
    <w:rsid w:val="26D43DEA"/>
    <w:rsid w:val="27015D0E"/>
    <w:rsid w:val="273147E4"/>
    <w:rsid w:val="27487015"/>
    <w:rsid w:val="277314C4"/>
    <w:rsid w:val="278E64B4"/>
    <w:rsid w:val="27A84C42"/>
    <w:rsid w:val="27AA14A2"/>
    <w:rsid w:val="27FE4411"/>
    <w:rsid w:val="281C44D0"/>
    <w:rsid w:val="28347384"/>
    <w:rsid w:val="287A4275"/>
    <w:rsid w:val="289E0FB2"/>
    <w:rsid w:val="28A05AF6"/>
    <w:rsid w:val="28B6434B"/>
    <w:rsid w:val="28B70DC9"/>
    <w:rsid w:val="294E550A"/>
    <w:rsid w:val="29711978"/>
    <w:rsid w:val="298634AE"/>
    <w:rsid w:val="29A17B31"/>
    <w:rsid w:val="29D607E3"/>
    <w:rsid w:val="2A4B1A28"/>
    <w:rsid w:val="2A567387"/>
    <w:rsid w:val="2A66542F"/>
    <w:rsid w:val="2AA77AF3"/>
    <w:rsid w:val="2B3649F4"/>
    <w:rsid w:val="2B4136CC"/>
    <w:rsid w:val="2B4675FA"/>
    <w:rsid w:val="2BB602C5"/>
    <w:rsid w:val="2BD85FC4"/>
    <w:rsid w:val="2BE937E9"/>
    <w:rsid w:val="2BF50AB4"/>
    <w:rsid w:val="2BFA0E70"/>
    <w:rsid w:val="2CBE178B"/>
    <w:rsid w:val="2CDB2A6D"/>
    <w:rsid w:val="2CDB7E63"/>
    <w:rsid w:val="2CF84C77"/>
    <w:rsid w:val="2D434FF8"/>
    <w:rsid w:val="2D5678E7"/>
    <w:rsid w:val="2D711E9B"/>
    <w:rsid w:val="2DA05DCE"/>
    <w:rsid w:val="2EB70711"/>
    <w:rsid w:val="2EC208DF"/>
    <w:rsid w:val="2F223C18"/>
    <w:rsid w:val="2F401A95"/>
    <w:rsid w:val="2F517C68"/>
    <w:rsid w:val="2F5716BB"/>
    <w:rsid w:val="2F6F3E0B"/>
    <w:rsid w:val="2F776CD8"/>
    <w:rsid w:val="2F797671"/>
    <w:rsid w:val="2F854CC7"/>
    <w:rsid w:val="2F9C3AD1"/>
    <w:rsid w:val="2FDD2BC4"/>
    <w:rsid w:val="2FF679D7"/>
    <w:rsid w:val="30372F83"/>
    <w:rsid w:val="30653C55"/>
    <w:rsid w:val="307C6D47"/>
    <w:rsid w:val="30970336"/>
    <w:rsid w:val="30B93C1E"/>
    <w:rsid w:val="30C952F8"/>
    <w:rsid w:val="30DB5390"/>
    <w:rsid w:val="30FB34C3"/>
    <w:rsid w:val="3118389A"/>
    <w:rsid w:val="3166520A"/>
    <w:rsid w:val="31A367EC"/>
    <w:rsid w:val="31C13694"/>
    <w:rsid w:val="31CF5586"/>
    <w:rsid w:val="31F15941"/>
    <w:rsid w:val="32066AC4"/>
    <w:rsid w:val="320C78A0"/>
    <w:rsid w:val="322814D9"/>
    <w:rsid w:val="3232204B"/>
    <w:rsid w:val="323649A0"/>
    <w:rsid w:val="329A0B6A"/>
    <w:rsid w:val="32C642E9"/>
    <w:rsid w:val="32F51B26"/>
    <w:rsid w:val="332573C9"/>
    <w:rsid w:val="33413346"/>
    <w:rsid w:val="338406B7"/>
    <w:rsid w:val="34477241"/>
    <w:rsid w:val="34854AB1"/>
    <w:rsid w:val="34A63F82"/>
    <w:rsid w:val="34D81416"/>
    <w:rsid w:val="350A7012"/>
    <w:rsid w:val="3549364E"/>
    <w:rsid w:val="35632366"/>
    <w:rsid w:val="35706816"/>
    <w:rsid w:val="36003080"/>
    <w:rsid w:val="360161F0"/>
    <w:rsid w:val="36050641"/>
    <w:rsid w:val="36086F35"/>
    <w:rsid w:val="36347F8D"/>
    <w:rsid w:val="36365F0F"/>
    <w:rsid w:val="368A5EEE"/>
    <w:rsid w:val="372651A6"/>
    <w:rsid w:val="375515EF"/>
    <w:rsid w:val="37607611"/>
    <w:rsid w:val="37854D30"/>
    <w:rsid w:val="37A91B2F"/>
    <w:rsid w:val="37FE632C"/>
    <w:rsid w:val="381E7A1B"/>
    <w:rsid w:val="382265A3"/>
    <w:rsid w:val="3829650F"/>
    <w:rsid w:val="384A684E"/>
    <w:rsid w:val="384D71FD"/>
    <w:rsid w:val="3858386F"/>
    <w:rsid w:val="386B45BC"/>
    <w:rsid w:val="388A594F"/>
    <w:rsid w:val="38B20142"/>
    <w:rsid w:val="39006650"/>
    <w:rsid w:val="39223F50"/>
    <w:rsid w:val="39915230"/>
    <w:rsid w:val="39B533F4"/>
    <w:rsid w:val="39F77D8B"/>
    <w:rsid w:val="3A106854"/>
    <w:rsid w:val="3A166DB1"/>
    <w:rsid w:val="3A242CB1"/>
    <w:rsid w:val="3A3D41CD"/>
    <w:rsid w:val="3A476F2A"/>
    <w:rsid w:val="3A637C30"/>
    <w:rsid w:val="3A6464DA"/>
    <w:rsid w:val="3A8D0AE7"/>
    <w:rsid w:val="3A8D59FD"/>
    <w:rsid w:val="3AB61CC0"/>
    <w:rsid w:val="3AB67D23"/>
    <w:rsid w:val="3B025489"/>
    <w:rsid w:val="3B35691C"/>
    <w:rsid w:val="3B507595"/>
    <w:rsid w:val="3B586E2D"/>
    <w:rsid w:val="3BF602C6"/>
    <w:rsid w:val="3C691FB2"/>
    <w:rsid w:val="3CC37C27"/>
    <w:rsid w:val="3D2A5959"/>
    <w:rsid w:val="3D3B3330"/>
    <w:rsid w:val="3D3E51D5"/>
    <w:rsid w:val="3D7470CD"/>
    <w:rsid w:val="3E9E74E5"/>
    <w:rsid w:val="3F1E5AF3"/>
    <w:rsid w:val="3F615A66"/>
    <w:rsid w:val="3F857305"/>
    <w:rsid w:val="3F9148EF"/>
    <w:rsid w:val="3F996600"/>
    <w:rsid w:val="3FC170E1"/>
    <w:rsid w:val="4071483C"/>
    <w:rsid w:val="40897331"/>
    <w:rsid w:val="40A300AE"/>
    <w:rsid w:val="40DD3147"/>
    <w:rsid w:val="41450ED1"/>
    <w:rsid w:val="419803FF"/>
    <w:rsid w:val="41A75327"/>
    <w:rsid w:val="41D03DB3"/>
    <w:rsid w:val="41DE07D6"/>
    <w:rsid w:val="41F9503A"/>
    <w:rsid w:val="42482E3A"/>
    <w:rsid w:val="425932C8"/>
    <w:rsid w:val="426C0C5A"/>
    <w:rsid w:val="42726493"/>
    <w:rsid w:val="4295623C"/>
    <w:rsid w:val="434F08E3"/>
    <w:rsid w:val="436469F4"/>
    <w:rsid w:val="43F037FF"/>
    <w:rsid w:val="44181054"/>
    <w:rsid w:val="44513CC6"/>
    <w:rsid w:val="446902B0"/>
    <w:rsid w:val="447D2EE6"/>
    <w:rsid w:val="44B23C7E"/>
    <w:rsid w:val="44B3664E"/>
    <w:rsid w:val="44C2436C"/>
    <w:rsid w:val="44C3352A"/>
    <w:rsid w:val="44D90650"/>
    <w:rsid w:val="45225B34"/>
    <w:rsid w:val="454247FC"/>
    <w:rsid w:val="45C2437E"/>
    <w:rsid w:val="45D022A1"/>
    <w:rsid w:val="46250637"/>
    <w:rsid w:val="464740FB"/>
    <w:rsid w:val="464C0E67"/>
    <w:rsid w:val="46513A30"/>
    <w:rsid w:val="46945BA3"/>
    <w:rsid w:val="469C1860"/>
    <w:rsid w:val="46EB55F0"/>
    <w:rsid w:val="46FD2B36"/>
    <w:rsid w:val="47194283"/>
    <w:rsid w:val="47195210"/>
    <w:rsid w:val="47213040"/>
    <w:rsid w:val="475F6725"/>
    <w:rsid w:val="479D2431"/>
    <w:rsid w:val="48100387"/>
    <w:rsid w:val="48676B77"/>
    <w:rsid w:val="486825DE"/>
    <w:rsid w:val="486C54E8"/>
    <w:rsid w:val="488F143A"/>
    <w:rsid w:val="489F1960"/>
    <w:rsid w:val="48A26DA2"/>
    <w:rsid w:val="48A8042C"/>
    <w:rsid w:val="490948E6"/>
    <w:rsid w:val="492F3120"/>
    <w:rsid w:val="493D4634"/>
    <w:rsid w:val="4A03697C"/>
    <w:rsid w:val="4A646C71"/>
    <w:rsid w:val="4A8F19BE"/>
    <w:rsid w:val="4A974BFD"/>
    <w:rsid w:val="4AB02150"/>
    <w:rsid w:val="4AB7027F"/>
    <w:rsid w:val="4AC53274"/>
    <w:rsid w:val="4AEA55F5"/>
    <w:rsid w:val="4B06606B"/>
    <w:rsid w:val="4B23478E"/>
    <w:rsid w:val="4B29022A"/>
    <w:rsid w:val="4B353D3D"/>
    <w:rsid w:val="4B3D2C38"/>
    <w:rsid w:val="4B5C5551"/>
    <w:rsid w:val="4B9A6CD9"/>
    <w:rsid w:val="4BBA2E9C"/>
    <w:rsid w:val="4BCC0D7F"/>
    <w:rsid w:val="4BDE415D"/>
    <w:rsid w:val="4C35736E"/>
    <w:rsid w:val="4C550775"/>
    <w:rsid w:val="4C6E51A1"/>
    <w:rsid w:val="4C7C2E04"/>
    <w:rsid w:val="4CC42E4B"/>
    <w:rsid w:val="4CD85E6F"/>
    <w:rsid w:val="4DA84AC9"/>
    <w:rsid w:val="4DCD58EF"/>
    <w:rsid w:val="4E006899"/>
    <w:rsid w:val="4E411F26"/>
    <w:rsid w:val="4E4604CC"/>
    <w:rsid w:val="4E6B607B"/>
    <w:rsid w:val="4E700033"/>
    <w:rsid w:val="4E712B50"/>
    <w:rsid w:val="4E7E67D5"/>
    <w:rsid w:val="4EE704C2"/>
    <w:rsid w:val="4F4F2A69"/>
    <w:rsid w:val="4F6E3CC3"/>
    <w:rsid w:val="4FAC2EBB"/>
    <w:rsid w:val="4FF37847"/>
    <w:rsid w:val="4FF8765E"/>
    <w:rsid w:val="500E49CD"/>
    <w:rsid w:val="500F1CD5"/>
    <w:rsid w:val="5019557F"/>
    <w:rsid w:val="506B6199"/>
    <w:rsid w:val="50B70C85"/>
    <w:rsid w:val="50FA2C7C"/>
    <w:rsid w:val="511D25A1"/>
    <w:rsid w:val="511D4C1C"/>
    <w:rsid w:val="515D35E9"/>
    <w:rsid w:val="51713776"/>
    <w:rsid w:val="51A36407"/>
    <w:rsid w:val="51C86B56"/>
    <w:rsid w:val="51D60B75"/>
    <w:rsid w:val="51D91B25"/>
    <w:rsid w:val="51FA42D4"/>
    <w:rsid w:val="5202225E"/>
    <w:rsid w:val="522A5C96"/>
    <w:rsid w:val="52822633"/>
    <w:rsid w:val="5286182F"/>
    <w:rsid w:val="52C77658"/>
    <w:rsid w:val="531700D4"/>
    <w:rsid w:val="53252219"/>
    <w:rsid w:val="534357AA"/>
    <w:rsid w:val="53B84021"/>
    <w:rsid w:val="53BF0718"/>
    <w:rsid w:val="53D71A68"/>
    <w:rsid w:val="541B571E"/>
    <w:rsid w:val="542947A2"/>
    <w:rsid w:val="542D096E"/>
    <w:rsid w:val="554E45B1"/>
    <w:rsid w:val="55CD3CF2"/>
    <w:rsid w:val="56306E56"/>
    <w:rsid w:val="56444969"/>
    <w:rsid w:val="568B1E1E"/>
    <w:rsid w:val="56EF0D8E"/>
    <w:rsid w:val="56EF513F"/>
    <w:rsid w:val="57350F22"/>
    <w:rsid w:val="57BB0DFB"/>
    <w:rsid w:val="57C82F28"/>
    <w:rsid w:val="57F70DED"/>
    <w:rsid w:val="58083A83"/>
    <w:rsid w:val="58153E5A"/>
    <w:rsid w:val="581B10FA"/>
    <w:rsid w:val="582156EE"/>
    <w:rsid w:val="58427747"/>
    <w:rsid w:val="584369EC"/>
    <w:rsid w:val="586B5983"/>
    <w:rsid w:val="58B673DD"/>
    <w:rsid w:val="58BB4CDB"/>
    <w:rsid w:val="58BF6E68"/>
    <w:rsid w:val="58E03A83"/>
    <w:rsid w:val="58F96B51"/>
    <w:rsid w:val="59185B61"/>
    <w:rsid w:val="596A4423"/>
    <w:rsid w:val="59AD702D"/>
    <w:rsid w:val="59D14CC4"/>
    <w:rsid w:val="59E7688C"/>
    <w:rsid w:val="59FF73A2"/>
    <w:rsid w:val="5A685562"/>
    <w:rsid w:val="5A943DA1"/>
    <w:rsid w:val="5A945937"/>
    <w:rsid w:val="5AA340C2"/>
    <w:rsid w:val="5AB6501F"/>
    <w:rsid w:val="5B410790"/>
    <w:rsid w:val="5B4E2982"/>
    <w:rsid w:val="5B7422F1"/>
    <w:rsid w:val="5B9E1D5B"/>
    <w:rsid w:val="5BA64252"/>
    <w:rsid w:val="5BCB323C"/>
    <w:rsid w:val="5C27611C"/>
    <w:rsid w:val="5C416085"/>
    <w:rsid w:val="5C7344DB"/>
    <w:rsid w:val="5D2D627A"/>
    <w:rsid w:val="5D7F7D07"/>
    <w:rsid w:val="5DC63A4E"/>
    <w:rsid w:val="5DED53D1"/>
    <w:rsid w:val="5E063E78"/>
    <w:rsid w:val="5E1B7959"/>
    <w:rsid w:val="5E9129EA"/>
    <w:rsid w:val="5EAD142E"/>
    <w:rsid w:val="5EC40C1A"/>
    <w:rsid w:val="5EE56740"/>
    <w:rsid w:val="5F3F3BFD"/>
    <w:rsid w:val="5F7071A8"/>
    <w:rsid w:val="5F733E07"/>
    <w:rsid w:val="5FD06C0F"/>
    <w:rsid w:val="5FF330F1"/>
    <w:rsid w:val="6084617C"/>
    <w:rsid w:val="60DD087F"/>
    <w:rsid w:val="60F20BC5"/>
    <w:rsid w:val="610C5CC5"/>
    <w:rsid w:val="613053AA"/>
    <w:rsid w:val="6162645C"/>
    <w:rsid w:val="61A7112B"/>
    <w:rsid w:val="61F1030C"/>
    <w:rsid w:val="6210426E"/>
    <w:rsid w:val="625C0D00"/>
    <w:rsid w:val="62832265"/>
    <w:rsid w:val="62B00797"/>
    <w:rsid w:val="62CA41E4"/>
    <w:rsid w:val="62E37EC1"/>
    <w:rsid w:val="6317277D"/>
    <w:rsid w:val="63216D47"/>
    <w:rsid w:val="63510BEE"/>
    <w:rsid w:val="638119A8"/>
    <w:rsid w:val="63B13819"/>
    <w:rsid w:val="642D51FD"/>
    <w:rsid w:val="642E3652"/>
    <w:rsid w:val="644E4B1D"/>
    <w:rsid w:val="64651B49"/>
    <w:rsid w:val="650C1105"/>
    <w:rsid w:val="65107CC1"/>
    <w:rsid w:val="651D3A26"/>
    <w:rsid w:val="652C5EC9"/>
    <w:rsid w:val="65353764"/>
    <w:rsid w:val="654E5628"/>
    <w:rsid w:val="65630C3D"/>
    <w:rsid w:val="656477F9"/>
    <w:rsid w:val="656726A3"/>
    <w:rsid w:val="657C7424"/>
    <w:rsid w:val="65B930E8"/>
    <w:rsid w:val="65EC5F0A"/>
    <w:rsid w:val="65F01CCB"/>
    <w:rsid w:val="665B546D"/>
    <w:rsid w:val="6666090E"/>
    <w:rsid w:val="66EC4D96"/>
    <w:rsid w:val="6736101B"/>
    <w:rsid w:val="675B739B"/>
    <w:rsid w:val="678C7FB4"/>
    <w:rsid w:val="67987A7C"/>
    <w:rsid w:val="67D94CE3"/>
    <w:rsid w:val="68281E82"/>
    <w:rsid w:val="68370CCC"/>
    <w:rsid w:val="684D7DEF"/>
    <w:rsid w:val="685C0CFB"/>
    <w:rsid w:val="69205264"/>
    <w:rsid w:val="695217DC"/>
    <w:rsid w:val="69943146"/>
    <w:rsid w:val="69C37032"/>
    <w:rsid w:val="6A536743"/>
    <w:rsid w:val="6A6F13E3"/>
    <w:rsid w:val="6AA70573"/>
    <w:rsid w:val="6AF542A4"/>
    <w:rsid w:val="6B832B04"/>
    <w:rsid w:val="6BD916EE"/>
    <w:rsid w:val="6C194573"/>
    <w:rsid w:val="6C1F5F35"/>
    <w:rsid w:val="6C3A2EE4"/>
    <w:rsid w:val="6CA7260D"/>
    <w:rsid w:val="6CCA1A7F"/>
    <w:rsid w:val="6D2E7B33"/>
    <w:rsid w:val="6DB23107"/>
    <w:rsid w:val="6DB25C0A"/>
    <w:rsid w:val="6DD805CD"/>
    <w:rsid w:val="6DF16476"/>
    <w:rsid w:val="6E035291"/>
    <w:rsid w:val="6E1206A4"/>
    <w:rsid w:val="6E306FE2"/>
    <w:rsid w:val="6E4213B4"/>
    <w:rsid w:val="6E5A3D7E"/>
    <w:rsid w:val="6E8D70AB"/>
    <w:rsid w:val="6E8F6840"/>
    <w:rsid w:val="6EBA7775"/>
    <w:rsid w:val="6F795870"/>
    <w:rsid w:val="6F992C36"/>
    <w:rsid w:val="6FB82117"/>
    <w:rsid w:val="703933A1"/>
    <w:rsid w:val="704E185C"/>
    <w:rsid w:val="70A96777"/>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50794B"/>
    <w:rsid w:val="738D015F"/>
    <w:rsid w:val="738E5F0E"/>
    <w:rsid w:val="73F31890"/>
    <w:rsid w:val="745751F5"/>
    <w:rsid w:val="74892FD1"/>
    <w:rsid w:val="748A5E0B"/>
    <w:rsid w:val="74FB18F9"/>
    <w:rsid w:val="75012916"/>
    <w:rsid w:val="751B2B76"/>
    <w:rsid w:val="75616560"/>
    <w:rsid w:val="75F80517"/>
    <w:rsid w:val="75F95482"/>
    <w:rsid w:val="7633094E"/>
    <w:rsid w:val="763D3893"/>
    <w:rsid w:val="766248A9"/>
    <w:rsid w:val="76C57715"/>
    <w:rsid w:val="76D0751B"/>
    <w:rsid w:val="76E27EE7"/>
    <w:rsid w:val="76E6192C"/>
    <w:rsid w:val="771479EA"/>
    <w:rsid w:val="77180DE8"/>
    <w:rsid w:val="771C35A1"/>
    <w:rsid w:val="7729161C"/>
    <w:rsid w:val="77A03719"/>
    <w:rsid w:val="77D57B60"/>
    <w:rsid w:val="78280CD8"/>
    <w:rsid w:val="78547476"/>
    <w:rsid w:val="78A4259B"/>
    <w:rsid w:val="78BD34B1"/>
    <w:rsid w:val="78C31CAF"/>
    <w:rsid w:val="78C43EAD"/>
    <w:rsid w:val="78CE6E70"/>
    <w:rsid w:val="795B3486"/>
    <w:rsid w:val="79694230"/>
    <w:rsid w:val="796D68C4"/>
    <w:rsid w:val="79E45FD6"/>
    <w:rsid w:val="7A7B389C"/>
    <w:rsid w:val="7A7C1996"/>
    <w:rsid w:val="7AD0105B"/>
    <w:rsid w:val="7AF15CEC"/>
    <w:rsid w:val="7AF64073"/>
    <w:rsid w:val="7AF92581"/>
    <w:rsid w:val="7B044A15"/>
    <w:rsid w:val="7B0F3A72"/>
    <w:rsid w:val="7B170E00"/>
    <w:rsid w:val="7B3057E8"/>
    <w:rsid w:val="7B487EA2"/>
    <w:rsid w:val="7B571C68"/>
    <w:rsid w:val="7B6B2BD8"/>
    <w:rsid w:val="7B8F70F0"/>
    <w:rsid w:val="7C157916"/>
    <w:rsid w:val="7C210437"/>
    <w:rsid w:val="7C4B2499"/>
    <w:rsid w:val="7C691A6C"/>
    <w:rsid w:val="7C721F5F"/>
    <w:rsid w:val="7C7D36C4"/>
    <w:rsid w:val="7C8662B0"/>
    <w:rsid w:val="7CBC3AA3"/>
    <w:rsid w:val="7CC9531F"/>
    <w:rsid w:val="7D5A6C81"/>
    <w:rsid w:val="7DAD733C"/>
    <w:rsid w:val="7E431677"/>
    <w:rsid w:val="7E5572E2"/>
    <w:rsid w:val="7E871182"/>
    <w:rsid w:val="7E9D3347"/>
    <w:rsid w:val="7EC24E42"/>
    <w:rsid w:val="7ED67996"/>
    <w:rsid w:val="7EE208F1"/>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4">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w:basedOn w:val="1"/>
    <w:link w:val="25"/>
    <w:uiPriority w:val="0"/>
    <w:pPr>
      <w:spacing w:after="120"/>
    </w:pPr>
  </w:style>
  <w:style w:type="paragraph" w:styleId="7">
    <w:name w:val="Body Text Indent"/>
    <w:basedOn w:val="1"/>
    <w:unhideWhenUsed/>
    <w:uiPriority w:val="0"/>
    <w:pPr>
      <w:ind w:firstLine="630"/>
    </w:pPr>
    <w:rPr>
      <w:kern w:val="0"/>
      <w:sz w:val="24"/>
    </w:rPr>
  </w:style>
  <w:style w:type="paragraph" w:styleId="8">
    <w:name w:val="Body Text Indent 2"/>
    <w:basedOn w:val="1"/>
    <w:unhideWhenUsed/>
    <w:uiPriority w:val="0"/>
    <w:pPr>
      <w:ind w:firstLine="600"/>
    </w:pPr>
    <w:rPr>
      <w:kern w:val="0"/>
      <w:sz w:val="24"/>
    </w:rPr>
  </w:style>
  <w:style w:type="paragraph" w:styleId="9">
    <w:name w:val="Balloon Text"/>
    <w:basedOn w:val="1"/>
    <w:semiHidden/>
    <w:uiPriority w:val="0"/>
    <w:rPr>
      <w:sz w:val="18"/>
      <w:szCs w:val="18"/>
    </w:rPr>
  </w:style>
  <w:style w:type="paragraph" w:styleId="10">
    <w:name w:val="footer"/>
    <w:basedOn w:val="1"/>
    <w:unhideWhenUsed/>
    <w:uiPriority w:val="0"/>
    <w:pPr>
      <w:tabs>
        <w:tab w:val="center" w:pos="4153"/>
        <w:tab w:val="right" w:pos="8306"/>
      </w:tabs>
      <w:snapToGrid w:val="0"/>
      <w:jc w:val="left"/>
    </w:pPr>
    <w:rPr>
      <w:sz w:val="18"/>
      <w:szCs w:val="20"/>
    </w:rPr>
  </w:style>
  <w:style w:type="paragraph" w:styleId="11">
    <w:name w:val="header"/>
    <w:basedOn w:val="1"/>
    <w:unhideWhenUsed/>
    <w:uiPriority w:val="0"/>
    <w:pPr>
      <w:pBdr>
        <w:bottom w:val="single" w:color="auto" w:sz="6" w:space="1"/>
      </w:pBdr>
      <w:tabs>
        <w:tab w:val="center" w:pos="4153"/>
        <w:tab w:val="right" w:pos="8306"/>
      </w:tabs>
      <w:snapToGrid w:val="0"/>
      <w:jc w:val="center"/>
    </w:pPr>
    <w:rPr>
      <w:sz w:val="18"/>
      <w:szCs w:val="20"/>
    </w:rPr>
  </w:style>
  <w:style w:type="table" w:styleId="13">
    <w:name w:val="Table Grid"/>
    <w:basedOn w:val="12"/>
    <w:unhideWhenUs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5">
    <w:name w:val="annotation reference"/>
    <w:uiPriority w:val="0"/>
    <w:rPr>
      <w:sz w:val="21"/>
      <w:szCs w:val="21"/>
    </w:rPr>
  </w:style>
  <w:style w:type="character" w:styleId="16">
    <w:name w:val="HTML Cite"/>
    <w:uiPriority w:val="0"/>
  </w:style>
  <w:style w:type="paragraph" w:customStyle="1" w:styleId="17">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8">
    <w:name w:val="修订1"/>
    <w:unhideWhenUsed/>
    <w:uiPriority w:val="99"/>
    <w:rPr>
      <w:rFonts w:ascii="Times New Roman" w:hAnsi="Times New Roman" w:eastAsia="宋体" w:cs="Times New Roman"/>
      <w:kern w:val="2"/>
      <w:sz w:val="21"/>
      <w:szCs w:val="24"/>
      <w:lang w:val="en-US" w:eastAsia="zh-CN" w:bidi="ar-SA"/>
    </w:rPr>
  </w:style>
  <w:style w:type="paragraph" w:customStyle="1" w:styleId="19">
    <w:name w:val="p0"/>
    <w:basedOn w:val="1"/>
    <w:uiPriority w:val="0"/>
    <w:pPr>
      <w:widowControl/>
    </w:pPr>
    <w:rPr>
      <w:kern w:val="0"/>
      <w:szCs w:val="21"/>
    </w:rPr>
  </w:style>
  <w:style w:type="paragraph" w:customStyle="1" w:styleId="20">
    <w:name w:val="YJH-nei"/>
    <w:uiPriority w:val="0"/>
    <w:pPr>
      <w:spacing w:line="600" w:lineRule="exact"/>
      <w:ind w:firstLine="200" w:firstLineChars="200"/>
    </w:pPr>
    <w:rPr>
      <w:rFonts w:ascii="仿宋_GB2312" w:hAnsi="宋体" w:eastAsia="仿宋_GB2312" w:cs="Times New Roman"/>
      <w:sz w:val="30"/>
      <w:szCs w:val="30"/>
      <w:lang w:val="en-US" w:eastAsia="zh-CN" w:bidi="ar-SA"/>
    </w:rPr>
  </w:style>
  <w:style w:type="paragraph" w:customStyle="1" w:styleId="21">
    <w:name w:val="正文 A"/>
    <w:uiPriority w:val="0"/>
    <w:pPr>
      <w:widowControl w:val="0"/>
      <w:spacing w:line="560" w:lineRule="atLeast"/>
      <w:ind w:firstLine="640"/>
      <w:jc w:val="both"/>
    </w:pPr>
    <w:rPr>
      <w:rFonts w:ascii="Arial Unicode MS" w:hAnsi="Arial Unicode MS" w:eastAsia="宋体" w:cs="Arial Unicode MS"/>
      <w:color w:val="000000"/>
      <w:kern w:val="2"/>
      <w:sz w:val="32"/>
      <w:szCs w:val="32"/>
      <w:lang w:val="en-US" w:eastAsia="zh-CN" w:bidi="ar-SA"/>
    </w:rPr>
  </w:style>
  <w:style w:type="paragraph" w:customStyle="1" w:styleId="22">
    <w:name w:val="Revision1"/>
    <w:hidden/>
    <w:unhideWhenUsed/>
    <w:uiPriority w:val="99"/>
    <w:rPr>
      <w:rFonts w:ascii="Times New Roman" w:hAnsi="Times New Roman" w:eastAsia="宋体" w:cs="Times New Roman"/>
      <w:kern w:val="2"/>
      <w:sz w:val="21"/>
      <w:szCs w:val="24"/>
      <w:lang w:val="en-US" w:eastAsia="zh-CN" w:bidi="ar-SA"/>
    </w:rPr>
  </w:style>
  <w:style w:type="character" w:customStyle="1" w:styleId="23">
    <w:name w:val="font81"/>
    <w:uiPriority w:val="0"/>
    <w:rPr>
      <w:rFonts w:hint="default" w:ascii="微软简仿宋" w:hAnsi="微软简仿宋" w:eastAsia="微软简仿宋" w:cs="微软简仿宋"/>
      <w:color w:val="000000"/>
      <w:sz w:val="24"/>
      <w:szCs w:val="24"/>
      <w:u w:val="none"/>
    </w:rPr>
  </w:style>
  <w:style w:type="character" w:customStyle="1" w:styleId="24">
    <w:name w:val="font51"/>
    <w:uiPriority w:val="0"/>
    <w:rPr>
      <w:rFonts w:hint="default" w:ascii="Times New Roman" w:hAnsi="Times New Roman" w:cs="Times New Roman"/>
      <w:color w:val="000000"/>
      <w:sz w:val="24"/>
      <w:szCs w:val="24"/>
      <w:u w:val="none"/>
    </w:rPr>
  </w:style>
  <w:style w:type="character" w:customStyle="1" w:styleId="25">
    <w:name w:val="正文文本 Char"/>
    <w:link w:val="6"/>
    <w:uiPriority w:val="0"/>
    <w:rPr>
      <w:kern w:val="2"/>
      <w:sz w:val="21"/>
      <w:szCs w:val="24"/>
    </w:rPr>
  </w:style>
  <w:style w:type="character" w:customStyle="1" w:styleId="26">
    <w:name w:val="font11"/>
    <w:uiPriority w:val="0"/>
    <w:rPr>
      <w:rFonts w:hint="default" w:ascii="微软简仿宋" w:hAnsi="微软简仿宋" w:eastAsia="微软简仿宋" w:cs="微软简仿宋"/>
      <w:color w:val="000000"/>
      <w:sz w:val="24"/>
      <w:szCs w:val="24"/>
      <w:u w:val="none"/>
    </w:rPr>
  </w:style>
  <w:style w:type="character" w:customStyle="1" w:styleId="27">
    <w:name w:val="font01"/>
    <w:uiPriority w:val="0"/>
    <w:rPr>
      <w:rFonts w:hint="default" w:ascii="Times New Roman" w:hAnsi="Times New Roman" w:cs="Times New Roman"/>
      <w:color w:val="000000"/>
      <w:sz w:val="24"/>
      <w:szCs w:val="24"/>
      <w:u w:val="none"/>
    </w:rPr>
  </w:style>
  <w:style w:type="paragraph" w:customStyle="1" w:styleId="28">
    <w:name w:val="Revision"/>
    <w:hidden/>
    <w:semiHidden/>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16</Pages>
  <Words>2545</Words>
  <Characters>14511</Characters>
  <Lines>120</Lines>
  <Paragraphs>34</Paragraphs>
  <TotalTime>10</TotalTime>
  <ScaleCrop>false</ScaleCrop>
  <LinksUpToDate>false</LinksUpToDate>
  <CharactersWithSpaces>17022</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2022-12-22T11:11:00Z</dcterms:created>
  <dc:creator>ylh</dc:creator>
  <cp:lastModifiedBy>RORO</cp:lastModifiedBy>
  <cp:lastPrinted>2022-12-28T02:29:00Z</cp:lastPrinted>
  <dcterms:modified xsi:type="dcterms:W3CDTF">2022-12-28T11:45:39Z</dcterms:modified>
  <dc:title>华夏理财开放净值型理财产品说明书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