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napToGrid w:val="0"/>
        <w:spacing w:line="400" w:lineRule="exact"/>
        <w:ind w:firstLine="0"/>
        <w:jc w:val="center"/>
        <w:rPr>
          <w:rFonts w:eastAsia="黑体"/>
          <w:bCs/>
          <w:kern w:val="2"/>
          <w:sz w:val="36"/>
          <w:szCs w:val="36"/>
        </w:rPr>
      </w:pPr>
      <w:r>
        <w:rPr>
          <w:rFonts w:hint="eastAsia" w:eastAsia="黑体"/>
          <w:bCs/>
          <w:kern w:val="2"/>
          <w:sz w:val="36"/>
          <w:szCs w:val="36"/>
        </w:rPr>
        <w:t>华夏理财龙盈固定收益类G款108号半年定开</w:t>
      </w:r>
    </w:p>
    <w:p>
      <w:pPr>
        <w:pStyle w:val="6"/>
        <w:snapToGrid w:val="0"/>
        <w:spacing w:line="400" w:lineRule="exact"/>
        <w:ind w:firstLine="0"/>
        <w:jc w:val="center"/>
        <w:rPr>
          <w:rFonts w:eastAsia="黑体"/>
          <w:bCs/>
          <w:kern w:val="2"/>
          <w:sz w:val="36"/>
          <w:szCs w:val="36"/>
        </w:rPr>
      </w:pPr>
      <w:r>
        <w:rPr>
          <w:rFonts w:hint="eastAsia" w:eastAsia="黑体"/>
          <w:bCs/>
          <w:kern w:val="2"/>
          <w:sz w:val="36"/>
          <w:szCs w:val="36"/>
        </w:rPr>
        <w:t>理财产品说明书</w:t>
      </w:r>
    </w:p>
    <w:tbl>
      <w:tblPr>
        <w:tblStyle w:val="11"/>
        <w:tblpPr w:leftFromText="180" w:rightFromText="180" w:vertAnchor="page" w:horzAnchor="page" w:tblpX="1867" w:tblpY="2343"/>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59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42" w:hRule="atLeast"/>
        </w:trPr>
        <w:tc>
          <w:tcPr>
            <w:tcW w:w="8590" w:type="dxa"/>
            <w:tcBorders>
              <w:top w:val="single" w:color="auto" w:sz="4" w:space="0"/>
              <w:left w:val="single" w:color="auto" w:sz="4" w:space="0"/>
              <w:right w:val="single" w:color="auto" w:sz="4" w:space="0"/>
            </w:tcBorders>
            <w:vAlign w:val="center"/>
          </w:tcPr>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一、</w:t>
            </w:r>
            <w:r>
              <w:rPr>
                <w:rFonts w:ascii="黑体" w:hAnsi="黑体" w:eastAsia="黑体"/>
                <w:b/>
                <w:sz w:val="28"/>
                <w:szCs w:val="28"/>
                <w:u w:val="single"/>
              </w:rPr>
              <w:t>理财产品与存款存在明显区别，具有一定的风险</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rPr>
            </w:pPr>
            <w:r>
              <w:rPr>
                <w:rFonts w:hint="eastAsia" w:ascii="黑体" w:hAnsi="黑体" w:eastAsia="黑体"/>
                <w:b/>
                <w:sz w:val="28"/>
                <w:szCs w:val="28"/>
                <w:u w:val="single"/>
              </w:rPr>
              <w:t>二、本理财产品为非保本浮动收益净值型理财产品，</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有限</w:t>
            </w:r>
            <w:r>
              <w:rPr>
                <w:rFonts w:hint="eastAsia" w:ascii="黑体" w:hAnsi="黑体" w:eastAsia="黑体"/>
                <w:b/>
                <w:sz w:val="28"/>
                <w:szCs w:val="28"/>
                <w:u w:val="single"/>
              </w:rPr>
              <w:t>责任</w:t>
            </w:r>
            <w:r>
              <w:rPr>
                <w:rFonts w:ascii="黑体" w:hAnsi="黑体" w:eastAsia="黑体"/>
                <w:b/>
                <w:sz w:val="28"/>
                <w:szCs w:val="28"/>
                <w:u w:val="single"/>
              </w:rPr>
              <w:t>公司（以下简称</w:t>
            </w:r>
            <w:r>
              <w:rPr>
                <w:rFonts w:hint="eastAsia" w:ascii="黑体" w:hAnsi="黑体" w:eastAsia="黑体"/>
                <w:b/>
                <w:sz w:val="28"/>
                <w:szCs w:val="28"/>
                <w:u w:val="single"/>
              </w:rPr>
              <w:t>“</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）不保证理财产品本金及理财收益</w:t>
            </w:r>
            <w:r>
              <w:rPr>
                <w:rFonts w:hint="eastAsia" w:ascii="黑体" w:hAnsi="黑体" w:eastAsia="黑体"/>
                <w:b/>
                <w:sz w:val="28"/>
                <w:szCs w:val="28"/>
                <w:u w:val="single"/>
              </w:rPr>
              <w:t>。在本理财产品存续期间，除</w:t>
            </w:r>
            <w:r>
              <w:rPr>
                <w:rFonts w:ascii="黑体" w:hAnsi="黑体" w:eastAsia="黑体"/>
                <w:b/>
                <w:sz w:val="28"/>
                <w:szCs w:val="28"/>
                <w:u w:val="single"/>
              </w:rPr>
              <w:t>本产品说明书约定的特殊情况</w:t>
            </w:r>
            <w:r>
              <w:rPr>
                <w:rFonts w:hint="eastAsia" w:ascii="黑体" w:hAnsi="黑体" w:eastAsia="黑体"/>
                <w:b/>
                <w:sz w:val="28"/>
                <w:szCs w:val="28"/>
                <w:u w:val="single"/>
              </w:rPr>
              <w:t>外</w:t>
            </w:r>
            <w:r>
              <w:rPr>
                <w:rFonts w:ascii="黑体" w:hAnsi="黑体" w:eastAsia="黑体"/>
                <w:b/>
                <w:sz w:val="28"/>
                <w:szCs w:val="28"/>
                <w:u w:val="single"/>
              </w:rPr>
              <w:t>，</w:t>
            </w:r>
            <w:r>
              <w:rPr>
                <w:rFonts w:hint="eastAsia" w:ascii="黑体" w:hAnsi="黑体" w:eastAsia="黑体"/>
                <w:b/>
                <w:sz w:val="28"/>
                <w:szCs w:val="28"/>
                <w:u w:val="single"/>
              </w:rPr>
              <w:t>投资者可在规定时间内按照本产品说明书中约定的申购、赎回条款申购或赎回本理财产品。</w:t>
            </w:r>
            <w:r>
              <w:rPr>
                <w:rFonts w:ascii="黑体" w:hAnsi="黑体" w:eastAsia="黑体"/>
                <w:b/>
                <w:sz w:val="28"/>
                <w:szCs w:val="28"/>
                <w:u w:val="single"/>
              </w:rPr>
              <w:t>投资者</w:t>
            </w:r>
            <w:r>
              <w:rPr>
                <w:rFonts w:hint="eastAsia" w:ascii="黑体" w:hAnsi="黑体" w:eastAsia="黑体"/>
                <w:b/>
                <w:sz w:val="28"/>
                <w:szCs w:val="28"/>
                <w:u w:val="single"/>
              </w:rPr>
              <w:t>投资本理财产品所</w:t>
            </w:r>
            <w:r>
              <w:rPr>
                <w:rFonts w:ascii="黑体" w:hAnsi="黑体" w:eastAsia="黑体"/>
                <w:b/>
                <w:sz w:val="28"/>
                <w:szCs w:val="28"/>
                <w:u w:val="single"/>
              </w:rPr>
              <w:t>面临的风险</w:t>
            </w:r>
            <w:r>
              <w:rPr>
                <w:rFonts w:hint="eastAsia" w:ascii="黑体" w:hAnsi="黑体" w:eastAsia="黑体"/>
                <w:b/>
                <w:sz w:val="28"/>
                <w:szCs w:val="28"/>
                <w:u w:val="single"/>
              </w:rPr>
              <w:t>请详细阅读本产品说明书第八部分风险揭示内容</w:t>
            </w:r>
            <w:r>
              <w:rPr>
                <w:rFonts w:ascii="黑体" w:hAnsi="黑体" w:eastAsia="黑体"/>
                <w:b/>
                <w:sz w:val="28"/>
                <w:szCs w:val="28"/>
                <w:u w:val="single"/>
              </w:rPr>
              <w:t>。投资者应在对风险有充分认识基础上</w:t>
            </w:r>
            <w:r>
              <w:rPr>
                <w:rFonts w:hint="eastAsia" w:ascii="黑体" w:hAnsi="黑体" w:eastAsia="黑体"/>
                <w:b/>
                <w:sz w:val="28"/>
                <w:szCs w:val="28"/>
                <w:u w:val="single"/>
              </w:rPr>
              <w:t>基于自身的独立判断</w:t>
            </w:r>
            <w:r>
              <w:rPr>
                <w:rFonts w:ascii="黑体" w:hAnsi="黑体" w:eastAsia="黑体"/>
                <w:b/>
                <w:sz w:val="28"/>
                <w:szCs w:val="28"/>
                <w:u w:val="single"/>
              </w:rPr>
              <w:t>谨慎投资</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三、</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郑重提示：在购买理财产品前，投资者应确保自己完全明白</w:t>
            </w:r>
            <w:r>
              <w:rPr>
                <w:rFonts w:hint="eastAsia" w:ascii="黑体" w:hAnsi="黑体" w:eastAsia="黑体"/>
                <w:b/>
                <w:sz w:val="28"/>
                <w:szCs w:val="28"/>
                <w:u w:val="single"/>
              </w:rPr>
              <w:t>本</w:t>
            </w:r>
            <w:r>
              <w:rPr>
                <w:rFonts w:ascii="黑体" w:hAnsi="黑体" w:eastAsia="黑体"/>
                <w:b/>
                <w:sz w:val="28"/>
                <w:szCs w:val="28"/>
                <w:u w:val="single"/>
              </w:rPr>
              <w:t>项投资的性质和所涉及的风险，详细了解和审慎评估</w:t>
            </w:r>
            <w:r>
              <w:rPr>
                <w:rFonts w:hint="eastAsia" w:ascii="黑体" w:hAnsi="黑体" w:eastAsia="黑体"/>
                <w:b/>
                <w:sz w:val="28"/>
                <w:szCs w:val="28"/>
                <w:u w:val="single"/>
              </w:rPr>
              <w:t>本</w:t>
            </w:r>
            <w:r>
              <w:rPr>
                <w:rFonts w:ascii="黑体" w:hAnsi="黑体" w:eastAsia="黑体"/>
                <w:b/>
                <w:sz w:val="28"/>
                <w:szCs w:val="28"/>
                <w:u w:val="single"/>
              </w:rPr>
              <w:t>理财产品的资金投资方向、风险类型等基本情况，在慎重考虑后自行决定购买与自身风险承受能力和资产管理需求匹配的理财产品</w:t>
            </w:r>
            <w:r>
              <w:rPr>
                <w:rFonts w:hint="eastAsia" w:ascii="黑体" w:hAnsi="黑体" w:eastAsia="黑体"/>
                <w:b/>
                <w:sz w:val="28"/>
                <w:szCs w:val="28"/>
                <w:u w:val="single"/>
              </w:rPr>
              <w:t>。</w:t>
            </w:r>
          </w:p>
          <w:p>
            <w:pPr>
              <w:adjustRightInd w:val="0"/>
              <w:snapToGrid w:val="0"/>
              <w:spacing w:line="400" w:lineRule="exact"/>
              <w:ind w:left="343" w:right="189" w:rightChars="90"/>
              <w:rPr>
                <w:rFonts w:eastAsia="楷体_GB2312"/>
                <w:sz w:val="28"/>
                <w:szCs w:val="28"/>
                <w:u w:val="single"/>
              </w:rPr>
            </w:pPr>
            <w:r>
              <w:rPr>
                <w:rFonts w:hint="eastAsia" w:ascii="黑体" w:hAnsi="黑体" w:eastAsia="黑体"/>
                <w:b/>
                <w:sz w:val="28"/>
                <w:szCs w:val="28"/>
                <w:u w:val="single"/>
              </w:rPr>
              <w:t>四、本理财产品的</w:t>
            </w:r>
            <w:r>
              <w:rPr>
                <w:rFonts w:ascii="黑体" w:hAnsi="黑体" w:eastAsia="黑体"/>
                <w:b/>
                <w:sz w:val="28"/>
                <w:szCs w:val="28"/>
                <w:u w:val="single"/>
              </w:rPr>
              <w:t>信息披露将通过华夏银行</w:t>
            </w:r>
            <w:r>
              <w:rPr>
                <w:rFonts w:hint="eastAsia" w:ascii="黑体" w:hAnsi="黑体" w:eastAsia="黑体"/>
                <w:b/>
                <w:sz w:val="28"/>
                <w:szCs w:val="28"/>
                <w:u w:val="single"/>
              </w:rPr>
              <w:t>官方</w:t>
            </w:r>
            <w:r>
              <w:rPr>
                <w:rFonts w:ascii="黑体" w:hAnsi="黑体" w:eastAsia="黑体"/>
                <w:b/>
                <w:sz w:val="28"/>
                <w:szCs w:val="28"/>
                <w:u w:val="single"/>
              </w:rPr>
              <w:t>网站</w:t>
            </w:r>
            <w:r>
              <w:rPr>
                <w:rFonts w:hint="eastAsia" w:ascii="黑体" w:hAnsi="黑体" w:eastAsia="黑体"/>
                <w:b/>
                <w:sz w:val="28"/>
                <w:szCs w:val="28"/>
                <w:u w:val="single"/>
              </w:rPr>
              <w:t>、代理销售机构（如有）信息披露渠道等进行公告</w:t>
            </w:r>
            <w:r>
              <w:rPr>
                <w:rFonts w:ascii="黑体" w:hAnsi="黑体" w:eastAsia="黑体"/>
                <w:b/>
                <w:sz w:val="28"/>
                <w:szCs w:val="28"/>
                <w:u w:val="single"/>
              </w:rPr>
              <w:t>。</w:t>
            </w:r>
            <w:r>
              <w:rPr>
                <w:rFonts w:hint="eastAsia" w:ascii="黑体" w:hAnsi="黑体" w:eastAsia="黑体"/>
                <w:b/>
                <w:sz w:val="28"/>
                <w:szCs w:val="28"/>
                <w:u w:val="single"/>
              </w:rPr>
              <w:t>投资者在购买理财产品后，应随时关注本理财产品的信息披露情况，及时获取相关信息。</w:t>
            </w:r>
            <w:r>
              <w:rPr>
                <w:rFonts w:ascii="黑体" w:hAnsi="黑体" w:eastAsia="黑体"/>
                <w:b/>
                <w:sz w:val="28"/>
                <w:szCs w:val="28"/>
                <w:u w:val="single"/>
              </w:rPr>
              <w:t>如果投资者未及时查询</w:t>
            </w:r>
            <w:r>
              <w:rPr>
                <w:rFonts w:hint="eastAsia" w:ascii="黑体" w:hAnsi="黑体" w:eastAsia="黑体"/>
                <w:b/>
                <w:sz w:val="28"/>
                <w:szCs w:val="28"/>
                <w:u w:val="single"/>
              </w:rPr>
              <w:t>而未能</w:t>
            </w:r>
            <w:r>
              <w:rPr>
                <w:rFonts w:ascii="黑体" w:hAnsi="黑体" w:eastAsia="黑体"/>
                <w:b/>
                <w:sz w:val="28"/>
                <w:szCs w:val="28"/>
                <w:u w:val="single"/>
              </w:rPr>
              <w:t>及时了解</w:t>
            </w:r>
            <w:r>
              <w:rPr>
                <w:rFonts w:hint="eastAsia" w:ascii="黑体" w:hAnsi="黑体" w:eastAsia="黑体"/>
                <w:b/>
                <w:sz w:val="28"/>
                <w:szCs w:val="28"/>
                <w:u w:val="single"/>
              </w:rPr>
              <w:t>本理财产品</w:t>
            </w:r>
            <w:r>
              <w:rPr>
                <w:rFonts w:ascii="黑体" w:hAnsi="黑体" w:eastAsia="黑体"/>
                <w:b/>
                <w:sz w:val="28"/>
                <w:szCs w:val="28"/>
                <w:u w:val="single"/>
              </w:rPr>
              <w:t>信息，因此产生的责任和风险由投资者承担。</w:t>
            </w:r>
            <w:r>
              <w:rPr>
                <w:rFonts w:hint="eastAsia" w:ascii="黑体" w:hAnsi="黑体" w:eastAsia="黑体"/>
                <w:b/>
                <w:sz w:val="28"/>
                <w:szCs w:val="28"/>
                <w:u w:val="single"/>
              </w:rPr>
              <w:t>投资者如需进行业务咨询或投诉，请拨打华夏银行客户服务热线95577或其他代理销售机构客户服务热线。</w:t>
            </w:r>
          </w:p>
        </w:tc>
      </w:tr>
    </w:tbl>
    <w:p>
      <w:pPr>
        <w:pStyle w:val="6"/>
        <w:adjustRightInd w:val="0"/>
        <w:snapToGrid w:val="0"/>
        <w:spacing w:line="400" w:lineRule="exact"/>
        <w:ind w:firstLine="0"/>
        <w:jc w:val="center"/>
        <w:rPr>
          <w:rFonts w:eastAsia="黑体"/>
          <w:bCs/>
          <w:kern w:val="2"/>
          <w:sz w:val="36"/>
          <w:szCs w:val="36"/>
        </w:rPr>
      </w:pPr>
    </w:p>
    <w:p>
      <w:pPr>
        <w:pStyle w:val="6"/>
        <w:adjustRightInd w:val="0"/>
        <w:snapToGrid w:val="0"/>
        <w:spacing w:line="400" w:lineRule="exact"/>
        <w:ind w:firstLine="0"/>
        <w:jc w:val="center"/>
        <w:rPr>
          <w:rFonts w:eastAsia="黑体"/>
          <w:bCs/>
          <w:kern w:val="2"/>
          <w:sz w:val="36"/>
          <w:szCs w:val="36"/>
        </w:rPr>
      </w:pP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一、</w:t>
      </w:r>
      <w:r>
        <w:rPr>
          <w:rFonts w:ascii="Times New Roman" w:eastAsia="黑体" w:cs="Times New Roman"/>
          <w:b/>
          <w:color w:val="auto"/>
        </w:rPr>
        <w:t>产品概述</w:t>
      </w:r>
    </w:p>
    <w:tbl>
      <w:tblPr>
        <w:tblStyle w:val="11"/>
        <w:tblW w:w="9134"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30"/>
        <w:gridCol w:w="7404"/>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产品名称</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
                <w:bCs/>
                <w:szCs w:val="21"/>
              </w:rPr>
            </w:pPr>
            <w:r>
              <w:rPr>
                <w:rFonts w:hint="eastAsia" w:ascii="仿宋" w:hAnsi="仿宋" w:eastAsia="仿宋"/>
                <w:b/>
                <w:bCs/>
                <w:szCs w:val="21"/>
              </w:rPr>
              <w:t>华夏理财龙盈固定收益类G款108号半年定开理财产品</w:t>
            </w:r>
          </w:p>
          <w:p>
            <w:pPr>
              <w:adjustRightInd w:val="0"/>
              <w:snapToGrid w:val="0"/>
              <w:spacing w:line="240" w:lineRule="atLeast"/>
              <w:jc w:val="center"/>
              <w:rPr>
                <w:rFonts w:ascii="仿宋" w:hAnsi="仿宋" w:eastAsia="仿宋"/>
                <w:b/>
                <w:bCs/>
                <w:szCs w:val="21"/>
              </w:rPr>
            </w:pPr>
            <w:r>
              <w:rPr>
                <w:rFonts w:hint="eastAsia" w:ascii="仿宋" w:hAnsi="仿宋" w:eastAsia="仿宋"/>
                <w:b/>
                <w:bCs/>
                <w:szCs w:val="21"/>
              </w:rPr>
              <w:t>简称：“龙盈固收G款108号（半年定开）”</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1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产品代码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208212100481</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全国银行业理财信息登记系统登记编码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Z7003921000450</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投资者可以依据该登记编码在中国理财网（www.chinawealth.com.cn）查询产品信息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产品管理人</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/管理人</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华夏理财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产品募集方式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公募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产品运作模式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开放式净值型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产品投资性质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固定收益类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产品收益</w:t>
            </w:r>
            <w:r>
              <w:rPr>
                <w:rFonts w:ascii="仿宋" w:hAnsi="仿宋" w:eastAsia="仿宋"/>
                <w:bCs/>
                <w:szCs w:val="21"/>
              </w:rPr>
              <w:t>类型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非保本浮动收益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投资及收益币种</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人民币</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产品风险评级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根据华夏</w:t>
            </w:r>
            <w:r>
              <w:rPr>
                <w:rFonts w:hint="eastAsia" w:ascii="仿宋" w:hAnsi="仿宋" w:eastAsia="仿宋"/>
                <w:bCs/>
                <w:szCs w:val="21"/>
              </w:rPr>
              <w:t>理财</w:t>
            </w:r>
            <w:r>
              <w:rPr>
                <w:rFonts w:ascii="仿宋" w:hAnsi="仿宋" w:eastAsia="仿宋"/>
                <w:bCs/>
                <w:szCs w:val="21"/>
              </w:rPr>
              <w:t>产品风险评级，本产品为</w:t>
            </w:r>
            <w:r>
              <w:rPr>
                <w:rFonts w:hint="eastAsia" w:ascii="仿宋" w:hAnsi="仿宋" w:eastAsia="仿宋"/>
                <w:bCs/>
                <w:szCs w:val="21"/>
                <w:u w:val="single"/>
              </w:rPr>
              <w:t xml:space="preserve"> PR2级（中低风险） </w:t>
            </w:r>
            <w:r>
              <w:rPr>
                <w:rFonts w:ascii="仿宋" w:hAnsi="仿宋" w:eastAsia="仿宋"/>
                <w:bCs/>
                <w:szCs w:val="21"/>
              </w:rPr>
              <w:t>理财产品。</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理财产品风险</w:t>
            </w:r>
            <w:r>
              <w:rPr>
                <w:rFonts w:hint="eastAsia" w:ascii="仿宋" w:hAnsi="仿宋" w:eastAsia="仿宋"/>
                <w:bCs/>
                <w:szCs w:val="21"/>
              </w:rPr>
              <w:t>评</w:t>
            </w:r>
            <w:r>
              <w:rPr>
                <w:rFonts w:ascii="仿宋" w:hAnsi="仿宋" w:eastAsia="仿宋"/>
                <w:bCs/>
                <w:szCs w:val="21"/>
              </w:rPr>
              <w:t>级</w:t>
            </w:r>
            <w:r>
              <w:rPr>
                <w:rFonts w:hint="eastAsia" w:ascii="仿宋" w:hAnsi="仿宋" w:eastAsia="仿宋"/>
                <w:bCs/>
                <w:szCs w:val="21"/>
              </w:rPr>
              <w:t>分</w:t>
            </w:r>
            <w:r>
              <w:rPr>
                <w:rFonts w:ascii="仿宋" w:hAnsi="仿宋" w:eastAsia="仿宋"/>
                <w:bCs/>
                <w:szCs w:val="21"/>
              </w:rPr>
              <w:t>为：</w:t>
            </w:r>
            <w:r>
              <w:rPr>
                <w:rFonts w:hint="eastAsia" w:ascii="仿宋" w:hAnsi="仿宋" w:eastAsia="仿宋"/>
                <w:bCs/>
                <w:szCs w:val="21"/>
              </w:rPr>
              <w:t>PR1级（低风险）、PR2级（中低风险）、PR3级（中等风险）、PR4级（中高风险）、PR5级（高风险）</w:t>
            </w:r>
            <w:r>
              <w:rPr>
                <w:rFonts w:ascii="仿宋" w:hAnsi="仿宋" w:eastAsia="仿宋"/>
                <w:bCs/>
                <w:szCs w:val="21"/>
              </w:rPr>
              <w:t>。</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本理财产品风险评级为华夏理财自主评定，仅供参考。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产品销售评级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ascii="仿宋" w:hAnsi="仿宋" w:eastAsia="仿宋"/>
                <w:bCs/>
                <w:szCs w:val="21"/>
              </w:rPr>
            </w:pPr>
            <w:r>
              <w:rPr>
                <w:rFonts w:hint="eastAsia" w:ascii="仿宋" w:hAnsi="仿宋" w:eastAsia="仿宋"/>
                <w:bCs/>
                <w:szCs w:val="21"/>
              </w:rPr>
              <w:t>本理财产品通过代理销售机构（以下简称“代销机构”）渠道销售的，理财产品评级应当以代销机构最终披露的评级结果为准。代销机构</w:t>
            </w:r>
            <w:r>
              <w:rPr>
                <w:rFonts w:hint="eastAsia" w:ascii="仿宋" w:hAnsi="仿宋" w:eastAsia="仿宋"/>
                <w:szCs w:val="21"/>
              </w:rPr>
              <w:t>如与华夏理财产品风险评级结果不一致，应当采用对应较高风险等级的评级结果</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销售</w:t>
            </w:r>
            <w:r>
              <w:rPr>
                <w:rFonts w:ascii="仿宋" w:hAnsi="仿宋" w:eastAsia="仿宋"/>
                <w:bCs/>
                <w:szCs w:val="21"/>
              </w:rPr>
              <w:t>对象</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个人投资</w:t>
            </w:r>
            <w:r>
              <w:rPr>
                <w:rFonts w:ascii="仿宋" w:hAnsi="仿宋" w:eastAsia="仿宋"/>
                <w:bCs/>
                <w:szCs w:val="21"/>
              </w:rPr>
              <w:t>者</w:t>
            </w:r>
            <w:r>
              <w:rPr>
                <w:rFonts w:hint="eastAsia" w:ascii="仿宋" w:hAnsi="仿宋" w:eastAsia="仿宋"/>
                <w:bCs/>
                <w:szCs w:val="21"/>
              </w:rPr>
              <w:t>、</w:t>
            </w:r>
            <w:r>
              <w:rPr>
                <w:rFonts w:ascii="仿宋" w:hAnsi="仿宋" w:eastAsia="仿宋"/>
                <w:bCs/>
                <w:szCs w:val="21"/>
              </w:rPr>
              <w:t>机构投资者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适合投资者</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面向不特定社会公众销售，经</w:t>
            </w:r>
            <w:r>
              <w:rPr>
                <w:rFonts w:hint="eastAsia" w:ascii="仿宋" w:hAnsi="仿宋" w:eastAsia="仿宋"/>
                <w:bCs/>
                <w:szCs w:val="21"/>
              </w:rPr>
              <w:t>华夏理财</w:t>
            </w:r>
            <w:r>
              <w:rPr>
                <w:rFonts w:ascii="仿宋" w:hAnsi="仿宋" w:eastAsia="仿宋"/>
                <w:bCs/>
                <w:szCs w:val="21"/>
              </w:rPr>
              <w:t>风险评估评定为</w:t>
            </w:r>
            <w:r>
              <w:rPr>
                <w:rFonts w:hint="eastAsia" w:ascii="仿宋" w:hAnsi="仿宋" w:eastAsia="仿宋"/>
                <w:bCs/>
                <w:szCs w:val="21"/>
                <w:u w:val="single"/>
              </w:rPr>
              <w:t xml:space="preserve"> </w:t>
            </w:r>
            <w:r>
              <w:rPr>
                <w:rFonts w:hint="eastAsia" w:ascii="仿宋" w:hAnsi="仿宋" w:eastAsia="仿宋"/>
                <w:bCs/>
                <w:color w:val="000000"/>
                <w:szCs w:val="21"/>
                <w:u w:val="single"/>
              </w:rPr>
              <w:t xml:space="preserve">CR2（稳健型）、CR3（平衡型）、CR4（进取型）、CR5（激进型） </w:t>
            </w:r>
            <w:r>
              <w:rPr>
                <w:rFonts w:hint="eastAsia" w:ascii="仿宋" w:hAnsi="仿宋" w:eastAsia="仿宋"/>
                <w:bCs/>
                <w:szCs w:val="21"/>
              </w:rPr>
              <w:t>的个人投资者。</w:t>
            </w:r>
            <w:r>
              <w:rPr>
                <w:rFonts w:hint="eastAsia" w:ascii="仿宋" w:hAnsi="仿宋" w:eastAsia="仿宋"/>
                <w:bCs/>
                <w:color w:val="000000"/>
                <w:szCs w:val="21"/>
              </w:rPr>
              <w:t>客户风险承受能力评级类型分为：CR1（谨慎型）、CR2（稳健型）、CR3（平衡型）、CR4（进取型）、CR5（激进型）</w:t>
            </w:r>
            <w:r>
              <w:rPr>
                <w:rFonts w:ascii="仿宋" w:hAnsi="仿宋" w:eastAsia="仿宋"/>
                <w:bCs/>
                <w:color w:val="000000"/>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w:t>
            </w:r>
            <w:r>
              <w:rPr>
                <w:rFonts w:hint="eastAsia" w:ascii="仿宋" w:hAnsi="仿宋" w:eastAsia="仿宋"/>
                <w:bCs/>
                <w:szCs w:val="21"/>
              </w:rPr>
              <w:t>，包括</w:t>
            </w:r>
            <w:r>
              <w:rPr>
                <w:rFonts w:ascii="仿宋" w:hAnsi="仿宋" w:eastAsia="仿宋"/>
                <w:bCs/>
                <w:szCs w:val="21"/>
              </w:rPr>
              <w:t>法人</w:t>
            </w:r>
            <w:r>
              <w:rPr>
                <w:rFonts w:hint="eastAsia" w:ascii="仿宋" w:hAnsi="仿宋" w:eastAsia="仿宋"/>
                <w:bCs/>
                <w:szCs w:val="21"/>
              </w:rPr>
              <w:t>或</w:t>
            </w:r>
            <w:r>
              <w:rPr>
                <w:rFonts w:ascii="仿宋" w:hAnsi="仿宋" w:eastAsia="仿宋"/>
                <w:bCs/>
                <w:szCs w:val="21"/>
              </w:rPr>
              <w:t>依法成立的其他组织。</w:t>
            </w:r>
          </w:p>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bCs/>
                <w:szCs w:val="21"/>
              </w:rPr>
              <w:t>通过代销机构购买的，适合投资者及投资者风险承受能力评估结果以代销机构规定为准</w:t>
            </w:r>
            <w:r>
              <w:rPr>
                <w:rFonts w:ascii="仿宋" w:hAnsi="仿宋" w:eastAsia="仿宋"/>
                <w:bCs/>
                <w:szCs w:val="21"/>
              </w:rPr>
              <w:t>。</w:t>
            </w:r>
            <w:r>
              <w:rPr>
                <w:rFonts w:hint="eastAsia" w:ascii="仿宋" w:hAnsi="仿宋" w:eastAsia="仿宋"/>
                <w:b/>
                <w:bCs/>
                <w:color w:val="000000"/>
                <w:szCs w:val="21"/>
              </w:rPr>
              <w:t>华夏理财/代销机构根据非机构投资者自身提供的信息评估非机构投资者风险承受能力，因非机构投资者提供信息不准确或不完整，导致其购买与自己风险承受能力不匹配的理财产品的</w:t>
            </w:r>
            <w:r>
              <w:rPr>
                <w:rFonts w:ascii="仿宋" w:hAnsi="仿宋" w:eastAsia="仿宋"/>
                <w:b/>
                <w:bCs/>
                <w:color w:val="000000"/>
                <w:szCs w:val="21"/>
              </w:rPr>
              <w:t>责任和风险由</w:t>
            </w:r>
            <w:r>
              <w:rPr>
                <w:rFonts w:hint="eastAsia" w:ascii="仿宋" w:hAnsi="仿宋" w:eastAsia="仿宋"/>
                <w:b/>
                <w:bCs/>
                <w:color w:val="000000"/>
                <w:szCs w:val="21"/>
              </w:rPr>
              <w:t>投资者</w:t>
            </w:r>
            <w:r>
              <w:rPr>
                <w:rFonts w:ascii="仿宋" w:hAnsi="仿宋" w:eastAsia="仿宋"/>
                <w:b/>
                <w:bCs/>
                <w:color w:val="000000"/>
                <w:szCs w:val="21"/>
              </w:rPr>
              <w:t>承担</w:t>
            </w:r>
            <w:r>
              <w:rPr>
                <w:rFonts w:hint="eastAsia" w:ascii="仿宋" w:hAnsi="仿宋" w:eastAsia="仿宋"/>
                <w:b/>
                <w:bCs/>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业绩比较基准</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cs="Cambria"/>
                <w:bCs/>
                <w:szCs w:val="21"/>
              </w:rPr>
              <w:t>业绩</w:t>
            </w:r>
            <w:r>
              <w:rPr>
                <w:rFonts w:hint="eastAsia" w:ascii="仿宋" w:hAnsi="仿宋" w:eastAsia="仿宋"/>
                <w:bCs/>
                <w:szCs w:val="21"/>
              </w:rPr>
              <w:t>比较</w:t>
            </w:r>
            <w:r>
              <w:rPr>
                <w:rFonts w:hint="eastAsia" w:ascii="仿宋" w:hAnsi="仿宋" w:eastAsia="仿宋" w:cs="Cambria"/>
                <w:bCs/>
                <w:szCs w:val="21"/>
              </w:rPr>
              <w:t>基准为</w:t>
            </w:r>
            <w:r>
              <w:rPr>
                <w:rFonts w:ascii="仿宋" w:hAnsi="仿宋" w:eastAsia="仿宋" w:cs="Cambria"/>
                <w:bCs/>
                <w:szCs w:val="21"/>
              </w:rPr>
              <w:t>2.80%-3.40%</w:t>
            </w:r>
            <w:r>
              <w:rPr>
                <w:rFonts w:hint="eastAsia" w:ascii="仿宋" w:hAnsi="仿宋" w:eastAsia="仿宋" w:cs="Cambria"/>
                <w:bCs/>
                <w:szCs w:val="21"/>
              </w:rPr>
              <w:t>（年化）。以产品投资利率债仓位5%-10%，信用债仓位100%-105%，</w:t>
            </w:r>
            <w:r>
              <w:rPr>
                <w:rFonts w:hint="eastAsia" w:ascii="仿宋" w:hAnsi="仿宋" w:eastAsia="仿宋" w:cs="Cambria"/>
                <w:bCs/>
                <w:szCs w:val="21"/>
                <w:lang w:eastAsia="zh-CN"/>
              </w:rPr>
              <w:t>权益</w:t>
            </w:r>
            <w:r>
              <w:rPr>
                <w:rFonts w:hint="eastAsia" w:ascii="仿宋" w:hAnsi="仿宋" w:eastAsia="仿宋" w:cs="Cambria"/>
                <w:bCs/>
                <w:szCs w:val="21"/>
              </w:rPr>
              <w:t>类资产仓位</w:t>
            </w:r>
            <w:r>
              <w:rPr>
                <w:rFonts w:hint="eastAsia" w:ascii="仿宋" w:hAnsi="仿宋" w:eastAsia="仿宋" w:cs="Cambria"/>
                <w:bCs/>
                <w:szCs w:val="21"/>
                <w:lang w:val="en-US" w:eastAsia="zh-CN"/>
              </w:rPr>
              <w:t>0</w:t>
            </w:r>
            <w:r>
              <w:rPr>
                <w:rFonts w:hint="eastAsia" w:ascii="仿宋" w:hAnsi="仿宋" w:eastAsia="仿宋" w:cs="Cambria"/>
                <w:bCs/>
                <w:szCs w:val="21"/>
              </w:rPr>
              <w:t>%-</w:t>
            </w:r>
            <w:r>
              <w:rPr>
                <w:rFonts w:hint="eastAsia" w:ascii="仿宋" w:hAnsi="仿宋" w:eastAsia="仿宋" w:cs="Cambria"/>
                <w:bCs/>
                <w:szCs w:val="21"/>
                <w:lang w:val="en-US" w:eastAsia="zh-CN"/>
              </w:rPr>
              <w:t>5</w:t>
            </w:r>
            <w:r>
              <w:rPr>
                <w:rFonts w:hint="eastAsia" w:ascii="仿宋" w:hAnsi="仿宋" w:eastAsia="仿宋" w:cs="Cambria"/>
                <w:bCs/>
                <w:szCs w:val="21"/>
              </w:rPr>
              <w:t>%，组合杠杆率105%-1</w:t>
            </w:r>
            <w:r>
              <w:rPr>
                <w:rFonts w:hint="eastAsia" w:ascii="仿宋" w:hAnsi="仿宋" w:eastAsia="仿宋" w:cs="Cambria"/>
                <w:bCs/>
                <w:szCs w:val="21"/>
                <w:lang w:val="en-US" w:eastAsia="zh-CN"/>
              </w:rPr>
              <w:t>20</w:t>
            </w:r>
            <w:bookmarkStart w:id="4" w:name="_GoBack"/>
            <w:bookmarkEnd w:id="4"/>
            <w:r>
              <w:rPr>
                <w:rFonts w:hint="eastAsia" w:ascii="仿宋" w:hAnsi="仿宋" w:eastAsia="仿宋" w:cs="Cambria"/>
                <w:bCs/>
                <w:szCs w:val="21"/>
              </w:rPr>
              <w:t>%为例，参考中债-国债总财富（1-3年）指数、中债-信用债总财富（1-3年）指数</w:t>
            </w:r>
            <w:r>
              <w:rPr>
                <w:rFonts w:hint="eastAsia" w:ascii="仿宋" w:hAnsi="仿宋" w:eastAsia="仿宋" w:cs="Cambria"/>
                <w:bCs/>
                <w:szCs w:val="21"/>
                <w:lang w:eastAsia="zh-CN"/>
              </w:rPr>
              <w:t>、</w:t>
            </w:r>
            <w:r>
              <w:rPr>
                <w:rFonts w:hint="eastAsia" w:ascii="仿宋" w:hAnsi="仿宋" w:eastAsia="仿宋" w:cs="Cambria"/>
                <w:bCs/>
                <w:szCs w:val="21"/>
                <w:lang w:val="en-US" w:eastAsia="zh-CN"/>
              </w:rPr>
              <w:t>Wind混合型基金总指数</w:t>
            </w:r>
            <w:r>
              <w:rPr>
                <w:rFonts w:hint="eastAsia" w:ascii="仿宋" w:hAnsi="仿宋" w:eastAsia="仿宋" w:cs="Cambria"/>
                <w:bCs/>
                <w:szCs w:val="21"/>
              </w:rPr>
              <w:t>，结合产品投资策略并扣除各项费用后，综合测算得出上述业绩比较基准。测算示例仅供参考，具体资产投资比例可根据各类资产的收益水平、流动性特征、信用风险等因素动态调整。</w:t>
            </w:r>
          </w:p>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bCs/>
                <w:color w:val="000000"/>
                <w:szCs w:val="21"/>
              </w:rPr>
              <w:t>业绩</w:t>
            </w:r>
            <w:r>
              <w:rPr>
                <w:rFonts w:hint="eastAsia" w:ascii="仿宋" w:hAnsi="仿宋" w:eastAsia="仿宋"/>
                <w:bCs/>
                <w:szCs w:val="21"/>
              </w:rPr>
              <w:t>比较</w:t>
            </w:r>
            <w:r>
              <w:rPr>
                <w:rFonts w:hint="eastAsia" w:ascii="仿宋" w:hAnsi="仿宋" w:eastAsia="仿宋"/>
                <w:bCs/>
                <w:color w:val="000000"/>
                <w:szCs w:val="21"/>
              </w:rPr>
              <w:t>基准是管理人基于产品性质、投资策略、过往经验等因素对产品设定的投资目标，不代表产品的未来表现和实际收益，不构成对产品收益的承诺。</w:t>
            </w:r>
          </w:p>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bCs/>
                <w:color w:val="000000"/>
                <w:szCs w:val="21"/>
              </w:rPr>
              <w:t>华夏理财有权根据市场情况及产品运作情况调整业绩比较基准，</w:t>
            </w:r>
            <w:r>
              <w:rPr>
                <w:rFonts w:hint="eastAsia" w:ascii="仿宋" w:hAnsi="仿宋" w:eastAsia="仿宋"/>
                <w:bCs/>
                <w:szCs w:val="21"/>
              </w:rPr>
              <w:t>并至少于新业绩比较基准启用前3个工作日公告</w:t>
            </w:r>
            <w:r>
              <w:rPr>
                <w:rFonts w:hint="eastAsia" w:ascii="仿宋" w:hAnsi="仿宋" w:eastAsia="仿宋"/>
                <w:bCs/>
                <w:color w:val="000000"/>
                <w:szCs w:val="21"/>
              </w:rPr>
              <w:t>。</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1.本理财产品为净值型产品，其业绩表现将随市场波动，具有不确定性。</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2.本业绩比较基准不构成华夏理财/代销机构对本理财产品的任何收益承诺。</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3.理财产品过往业绩不代表其未来表现，不等于理财产品实际收益，投资须谨慎。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募集</w:t>
            </w:r>
            <w:r>
              <w:rPr>
                <w:rFonts w:ascii="仿宋" w:hAnsi="仿宋" w:eastAsia="仿宋"/>
                <w:bCs/>
                <w:szCs w:val="21"/>
              </w:rPr>
              <w:t>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2020</w:t>
            </w:r>
            <w:r>
              <w:rPr>
                <w:rFonts w:ascii="仿宋" w:hAnsi="仿宋" w:eastAsia="仿宋"/>
                <w:bCs/>
                <w:szCs w:val="21"/>
              </w:rPr>
              <w:t>年</w:t>
            </w:r>
            <w:r>
              <w:rPr>
                <w:rFonts w:hint="eastAsia" w:ascii="仿宋" w:hAnsi="仿宋" w:eastAsia="仿宋"/>
                <w:bCs/>
                <w:szCs w:val="21"/>
              </w:rPr>
              <w:t>11月05</w:t>
            </w:r>
            <w:r>
              <w:rPr>
                <w:rFonts w:ascii="仿宋" w:hAnsi="仿宋" w:eastAsia="仿宋"/>
                <w:bCs/>
                <w:szCs w:val="21"/>
              </w:rPr>
              <w:t>日－</w:t>
            </w:r>
            <w:r>
              <w:rPr>
                <w:rFonts w:hint="eastAsia" w:ascii="仿宋" w:hAnsi="仿宋" w:eastAsia="仿宋"/>
                <w:bCs/>
                <w:szCs w:val="21"/>
              </w:rPr>
              <w:t>2020</w:t>
            </w:r>
            <w:r>
              <w:rPr>
                <w:rFonts w:ascii="仿宋" w:hAnsi="仿宋" w:eastAsia="仿宋"/>
                <w:bCs/>
                <w:szCs w:val="21"/>
              </w:rPr>
              <w:t>年</w:t>
            </w:r>
            <w:r>
              <w:rPr>
                <w:rFonts w:hint="eastAsia" w:ascii="仿宋" w:hAnsi="仿宋" w:eastAsia="仿宋"/>
                <w:bCs/>
                <w:szCs w:val="21"/>
              </w:rPr>
              <w:t>11</w:t>
            </w:r>
            <w:r>
              <w:rPr>
                <w:rFonts w:ascii="仿宋" w:hAnsi="仿宋" w:eastAsia="仿宋"/>
                <w:bCs/>
                <w:szCs w:val="21"/>
              </w:rPr>
              <w:t>月</w:t>
            </w:r>
            <w:r>
              <w:rPr>
                <w:rFonts w:hint="eastAsia" w:ascii="仿宋" w:hAnsi="仿宋" w:eastAsia="仿宋"/>
                <w:bCs/>
                <w:szCs w:val="21"/>
              </w:rPr>
              <w:t>05日</w:t>
            </w:r>
            <w:r>
              <w:rPr>
                <w:rFonts w:ascii="仿宋" w:hAnsi="仿宋" w:eastAsia="仿宋"/>
                <w:bCs/>
                <w:szCs w:val="21"/>
              </w:rPr>
              <w:t>（含）</w:t>
            </w:r>
            <w:r>
              <w:rPr>
                <w:rFonts w:hint="eastAsia" w:ascii="仿宋" w:hAnsi="仿宋" w:eastAsia="仿宋"/>
                <w:bCs/>
                <w:szCs w:val="21"/>
              </w:rPr>
              <w:t>（根据市场情况，华夏理财有权提前结束认购或调整相关日期，募集期最后一日认购截止时点如与华夏理财不一致则以各代销机构规定为准，其中华夏银行/华夏理财17:30（含）后不可认购。</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成立日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2020</w:t>
            </w:r>
            <w:r>
              <w:rPr>
                <w:rFonts w:ascii="仿宋" w:hAnsi="仿宋" w:eastAsia="仿宋"/>
                <w:bCs/>
                <w:szCs w:val="21"/>
              </w:rPr>
              <w:t>年</w:t>
            </w:r>
            <w:r>
              <w:rPr>
                <w:rFonts w:hint="eastAsia" w:ascii="仿宋" w:hAnsi="仿宋" w:eastAsia="仿宋"/>
                <w:bCs/>
                <w:szCs w:val="21"/>
              </w:rPr>
              <w:t>11</w:t>
            </w:r>
            <w:r>
              <w:rPr>
                <w:rFonts w:ascii="仿宋" w:hAnsi="仿宋" w:eastAsia="仿宋"/>
                <w:bCs/>
                <w:szCs w:val="21"/>
              </w:rPr>
              <w:t>月</w:t>
            </w:r>
            <w:r>
              <w:rPr>
                <w:rFonts w:hint="eastAsia" w:ascii="仿宋" w:hAnsi="仿宋" w:eastAsia="仿宋"/>
                <w:bCs/>
                <w:szCs w:val="21"/>
              </w:rPr>
              <w:t>06</w:t>
            </w:r>
            <w:r>
              <w:rPr>
                <w:rFonts w:ascii="仿宋" w:hAnsi="仿宋" w:eastAsia="仿宋"/>
                <w:bCs/>
                <w:szCs w:val="21"/>
              </w:rPr>
              <w:t>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封闭期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产品成立日至产品首个</w:t>
            </w:r>
            <w:r>
              <w:rPr>
                <w:rFonts w:ascii="仿宋" w:hAnsi="仿宋" w:eastAsia="仿宋"/>
                <w:bCs/>
                <w:szCs w:val="21"/>
              </w:rPr>
              <w:t>开放</w:t>
            </w:r>
            <w:r>
              <w:rPr>
                <w:rFonts w:hint="eastAsia" w:ascii="仿宋" w:hAnsi="仿宋" w:eastAsia="仿宋"/>
                <w:bCs/>
                <w:szCs w:val="21"/>
              </w:rPr>
              <w:t>期</w:t>
            </w:r>
            <w:r>
              <w:rPr>
                <w:rFonts w:ascii="仿宋" w:hAnsi="仿宋" w:eastAsia="仿宋"/>
                <w:bCs/>
                <w:szCs w:val="21"/>
              </w:rPr>
              <w:t>的</w:t>
            </w:r>
            <w:r>
              <w:rPr>
                <w:rFonts w:hint="eastAsia" w:ascii="仿宋" w:hAnsi="仿宋" w:eastAsia="仿宋"/>
                <w:bCs/>
                <w:szCs w:val="21"/>
              </w:rPr>
              <w:t>前一</w:t>
            </w:r>
            <w:r>
              <w:rPr>
                <w:rFonts w:ascii="仿宋" w:hAnsi="仿宋" w:eastAsia="仿宋"/>
                <w:bCs/>
                <w:szCs w:val="21"/>
              </w:rPr>
              <w:t>日</w:t>
            </w:r>
            <w:r>
              <w:rPr>
                <w:rFonts w:hint="eastAsia" w:ascii="仿宋" w:hAnsi="仿宋" w:eastAsia="仿宋"/>
                <w:bCs/>
                <w:szCs w:val="21"/>
              </w:rPr>
              <w:t>、产品</w:t>
            </w:r>
            <w:r>
              <w:rPr>
                <w:rFonts w:ascii="仿宋" w:hAnsi="仿宋" w:eastAsia="仿宋"/>
                <w:bCs/>
                <w:szCs w:val="21"/>
              </w:rPr>
              <w:t>上</w:t>
            </w:r>
            <w:r>
              <w:rPr>
                <w:rFonts w:hint="eastAsia" w:ascii="仿宋" w:hAnsi="仿宋" w:eastAsia="仿宋"/>
                <w:bCs/>
                <w:szCs w:val="21"/>
              </w:rPr>
              <w:t>一</w:t>
            </w:r>
            <w:r>
              <w:rPr>
                <w:rFonts w:ascii="仿宋" w:hAnsi="仿宋" w:eastAsia="仿宋"/>
                <w:bCs/>
                <w:szCs w:val="21"/>
              </w:rPr>
              <w:t>开放</w:t>
            </w:r>
            <w:r>
              <w:rPr>
                <w:rFonts w:hint="eastAsia" w:ascii="仿宋" w:hAnsi="仿宋" w:eastAsia="仿宋"/>
                <w:bCs/>
                <w:szCs w:val="21"/>
              </w:rPr>
              <w:t>期的下一日</w:t>
            </w:r>
            <w:r>
              <w:rPr>
                <w:rFonts w:ascii="仿宋" w:hAnsi="仿宋" w:eastAsia="仿宋"/>
                <w:bCs/>
                <w:szCs w:val="21"/>
              </w:rPr>
              <w:t>至</w:t>
            </w:r>
            <w:r>
              <w:rPr>
                <w:rFonts w:hint="eastAsia" w:ascii="仿宋" w:hAnsi="仿宋" w:eastAsia="仿宋"/>
                <w:bCs/>
                <w:szCs w:val="21"/>
              </w:rPr>
              <w:t>产品</w:t>
            </w:r>
            <w:r>
              <w:rPr>
                <w:rFonts w:ascii="仿宋" w:hAnsi="仿宋" w:eastAsia="仿宋"/>
                <w:bCs/>
                <w:szCs w:val="21"/>
              </w:rPr>
              <w:t>下一开放</w:t>
            </w:r>
            <w:r>
              <w:rPr>
                <w:rFonts w:hint="eastAsia" w:ascii="仿宋" w:hAnsi="仿宋" w:eastAsia="仿宋"/>
                <w:bCs/>
                <w:szCs w:val="21"/>
              </w:rPr>
              <w:t>期</w:t>
            </w:r>
            <w:r>
              <w:rPr>
                <w:rFonts w:ascii="仿宋" w:hAnsi="仿宋" w:eastAsia="仿宋"/>
                <w:bCs/>
                <w:szCs w:val="21"/>
              </w:rPr>
              <w:t>的</w:t>
            </w:r>
            <w:r>
              <w:rPr>
                <w:rFonts w:hint="eastAsia" w:ascii="仿宋" w:hAnsi="仿宋" w:eastAsia="仿宋"/>
                <w:bCs/>
                <w:szCs w:val="21"/>
              </w:rPr>
              <w:t>前一</w:t>
            </w:r>
            <w:r>
              <w:rPr>
                <w:rFonts w:ascii="仿宋" w:hAnsi="仿宋" w:eastAsia="仿宋"/>
                <w:bCs/>
                <w:szCs w:val="21"/>
              </w:rPr>
              <w:t>日、产品最后一个</w:t>
            </w:r>
            <w:r>
              <w:rPr>
                <w:rFonts w:hint="eastAsia" w:ascii="仿宋" w:hAnsi="仿宋" w:eastAsia="仿宋"/>
                <w:bCs/>
                <w:szCs w:val="21"/>
              </w:rPr>
              <w:t>开放期的下一</w:t>
            </w:r>
            <w:r>
              <w:rPr>
                <w:rFonts w:ascii="仿宋" w:hAnsi="仿宋" w:eastAsia="仿宋"/>
                <w:bCs/>
                <w:szCs w:val="21"/>
              </w:rPr>
              <w:t>日至产品</w:t>
            </w:r>
            <w:r>
              <w:rPr>
                <w:rFonts w:hint="eastAsia" w:ascii="仿宋" w:hAnsi="仿宋" w:eastAsia="仿宋"/>
                <w:bCs/>
                <w:szCs w:val="21"/>
              </w:rPr>
              <w:t>到期日</w:t>
            </w:r>
            <w:r>
              <w:rPr>
                <w:rFonts w:ascii="仿宋" w:hAnsi="仿宋" w:eastAsia="仿宋"/>
                <w:bCs/>
                <w:szCs w:val="21"/>
              </w:rPr>
              <w:t>为产品的封闭期</w:t>
            </w:r>
            <w:r>
              <w:rPr>
                <w:rFonts w:hint="eastAsia" w:ascii="仿宋" w:hAnsi="仿宋" w:eastAsia="仿宋"/>
                <w:bCs/>
                <w:szCs w:val="21"/>
              </w:rPr>
              <w:t>。</w:t>
            </w:r>
          </w:p>
          <w:p>
            <w:pPr>
              <w:adjustRightInd w:val="0"/>
              <w:snapToGrid w:val="0"/>
              <w:spacing w:line="240" w:lineRule="atLeast"/>
              <w:ind w:firstLine="422" w:firstLineChars="200"/>
              <w:jc w:val="left"/>
              <w:rPr>
                <w:rFonts w:ascii="仿宋" w:hAnsi="仿宋" w:eastAsia="仿宋"/>
                <w:b/>
                <w:bCs/>
                <w:szCs w:val="21"/>
              </w:rPr>
            </w:pPr>
            <w:r>
              <w:rPr>
                <w:rFonts w:ascii="仿宋" w:hAnsi="仿宋" w:eastAsia="仿宋"/>
                <w:b/>
                <w:bCs/>
                <w:szCs w:val="21"/>
              </w:rPr>
              <w:t>封闭期内，除本产品说明书规定情形以外，华夏理财/代销机构不受理投资者任何形式的提前赎回申请。因投资者资金安排不合理，导致其购买与自身流动性需求不匹配的理财产品的责任和风险由投资者承担。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产品存续期限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color w:val="000000"/>
                <w:szCs w:val="21"/>
              </w:rPr>
              <w:t>本理财产品无特定存续期限（产品实际期限受制于提前终止条款的约定）</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color w:val="000000"/>
                <w:szCs w:val="21"/>
              </w:rPr>
            </w:pPr>
            <w:r>
              <w:rPr>
                <w:rFonts w:hint="eastAsia" w:ascii="仿宋" w:hAnsi="仿宋" w:eastAsia="仿宋"/>
                <w:bCs/>
                <w:color w:val="000000"/>
                <w:szCs w:val="21"/>
              </w:rPr>
              <w:t>发行范围</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color w:val="000000"/>
                <w:szCs w:val="21"/>
              </w:rPr>
            </w:pPr>
            <w:r>
              <w:rPr>
                <w:rFonts w:hint="eastAsia" w:ascii="仿宋" w:hAnsi="仿宋" w:eastAsia="仿宋"/>
                <w:bCs/>
                <w:color w:val="000000"/>
                <w:szCs w:val="21"/>
              </w:rPr>
              <w:t>全国发行</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cs="仿宋"/>
                <w:bCs/>
                <w:szCs w:val="21"/>
              </w:rPr>
              <w:t>发行规模</w:t>
            </w:r>
            <w:r>
              <w:rPr>
                <w:rFonts w:ascii="仿宋" w:hAnsi="仿宋" w:eastAsia="仿宋"/>
                <w:bCs/>
                <w:szCs w:val="21"/>
              </w:rPr>
              <w:t>下限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1</w:t>
            </w:r>
            <w:r>
              <w:rPr>
                <w:rFonts w:hint="eastAsia" w:ascii="仿宋" w:hAnsi="仿宋" w:eastAsia="仿宋"/>
                <w:bCs/>
                <w:szCs w:val="21"/>
              </w:rPr>
              <w:t>000万元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jc w:val="center"/>
              <w:rPr>
                <w:rFonts w:ascii="仿宋" w:hAnsi="仿宋" w:eastAsia="仿宋"/>
                <w:bCs/>
                <w:szCs w:val="21"/>
              </w:rPr>
            </w:pPr>
            <w:r>
              <w:rPr>
                <w:rFonts w:ascii="仿宋" w:hAnsi="仿宋" w:eastAsia="仿宋"/>
                <w:bCs/>
                <w:szCs w:val="21"/>
              </w:rPr>
              <w:t>产品</w:t>
            </w:r>
            <w:r>
              <w:rPr>
                <w:rFonts w:hint="eastAsia" w:ascii="仿宋" w:hAnsi="仿宋" w:eastAsia="仿宋"/>
                <w:bCs/>
                <w:szCs w:val="21"/>
              </w:rPr>
              <w:t>不</w:t>
            </w:r>
            <w:r>
              <w:rPr>
                <w:rFonts w:ascii="仿宋" w:hAnsi="仿宋" w:eastAsia="仿宋"/>
                <w:bCs/>
                <w:szCs w:val="21"/>
              </w:rPr>
              <w:t>成立</w:t>
            </w:r>
          </w:p>
        </w:tc>
        <w:tc>
          <w:tcPr>
            <w:tcW w:w="7404"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pPr>
              <w:keepNext/>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如理财产品不成立，华夏</w:t>
            </w:r>
            <w:r>
              <w:rPr>
                <w:rFonts w:hint="eastAsia" w:ascii="仿宋" w:hAnsi="仿宋" w:eastAsia="仿宋"/>
                <w:bCs/>
                <w:szCs w:val="21"/>
              </w:rPr>
              <w:t>理财</w:t>
            </w:r>
            <w:r>
              <w:rPr>
                <w:rFonts w:ascii="仿宋" w:hAnsi="仿宋" w:eastAsia="仿宋"/>
                <w:bCs/>
                <w:szCs w:val="21"/>
              </w:rPr>
              <w:t>将于</w:t>
            </w:r>
            <w:r>
              <w:rPr>
                <w:rFonts w:hint="eastAsia" w:ascii="仿宋" w:hAnsi="仿宋" w:eastAsia="仿宋"/>
                <w:bCs/>
                <w:szCs w:val="21"/>
              </w:rPr>
              <w:t>原定成立日后2</w:t>
            </w:r>
            <w:r>
              <w:rPr>
                <w:rFonts w:ascii="仿宋" w:hAnsi="仿宋" w:eastAsia="仿宋"/>
                <w:bCs/>
                <w:szCs w:val="21"/>
              </w:rPr>
              <w:t>个工作日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本产品说明书约定的信息披露渠道</w:t>
            </w:r>
            <w:r>
              <w:rPr>
                <w:rFonts w:ascii="仿宋" w:hAnsi="仿宋" w:eastAsia="仿宋"/>
                <w:bCs/>
                <w:szCs w:val="21"/>
              </w:rPr>
              <w:t>发布本理财产品不成立的公告</w:t>
            </w:r>
            <w:r>
              <w:rPr>
                <w:rFonts w:hint="eastAsia" w:ascii="仿宋" w:hAnsi="仿宋" w:eastAsia="仿宋"/>
                <w:bCs/>
                <w:szCs w:val="21"/>
              </w:rPr>
              <w:t>。通过华夏银行/华夏理财购买的，将</w:t>
            </w:r>
            <w:r>
              <w:rPr>
                <w:rFonts w:ascii="仿宋" w:hAnsi="仿宋" w:eastAsia="仿宋"/>
                <w:bCs/>
                <w:szCs w:val="21"/>
              </w:rPr>
              <w:t>于原定成立日</w:t>
            </w:r>
            <w:r>
              <w:rPr>
                <w:rFonts w:hint="eastAsia" w:ascii="仿宋" w:hAnsi="仿宋" w:eastAsia="仿宋"/>
                <w:bCs/>
                <w:szCs w:val="21"/>
              </w:rPr>
              <w:t>后</w:t>
            </w:r>
            <w:r>
              <w:rPr>
                <w:rFonts w:ascii="仿宋" w:hAnsi="仿宋" w:eastAsia="仿宋"/>
                <w:bCs/>
                <w:szCs w:val="21"/>
              </w:rPr>
              <w:t>2个工作日内将已</w:t>
            </w:r>
            <w:r>
              <w:rPr>
                <w:rFonts w:hint="eastAsia" w:ascii="仿宋" w:hAnsi="仿宋" w:eastAsia="仿宋"/>
                <w:bCs/>
                <w:szCs w:val="21"/>
              </w:rPr>
              <w:t>募集</w:t>
            </w:r>
            <w:r>
              <w:rPr>
                <w:rFonts w:ascii="仿宋" w:hAnsi="仿宋" w:eastAsia="仿宋"/>
                <w:bCs/>
                <w:szCs w:val="21"/>
              </w:rPr>
              <w:t>资金退回</w:t>
            </w:r>
            <w:r>
              <w:rPr>
                <w:rFonts w:hint="eastAsia" w:ascii="仿宋" w:hAnsi="仿宋" w:eastAsia="仿宋"/>
                <w:bCs/>
                <w:szCs w:val="21"/>
              </w:rPr>
              <w:t>华夏银行/华夏理财客户</w:t>
            </w:r>
            <w:r>
              <w:rPr>
                <w:rFonts w:ascii="仿宋" w:hAnsi="仿宋" w:eastAsia="仿宋"/>
                <w:bCs/>
                <w:szCs w:val="21"/>
              </w:rPr>
              <w:t>的</w:t>
            </w:r>
            <w:r>
              <w:rPr>
                <w:rFonts w:hint="eastAsia" w:ascii="仿宋" w:hAnsi="仿宋" w:eastAsia="仿宋"/>
                <w:bCs/>
                <w:szCs w:val="21"/>
              </w:rPr>
              <w:t>理财签约</w:t>
            </w:r>
            <w:r>
              <w:rPr>
                <w:rFonts w:ascii="仿宋" w:hAnsi="仿宋" w:eastAsia="仿宋"/>
                <w:bCs/>
                <w:szCs w:val="21"/>
              </w:rPr>
              <w:t>账户</w:t>
            </w:r>
            <w:r>
              <w:rPr>
                <w:rFonts w:hint="eastAsia" w:ascii="仿宋" w:hAnsi="仿宋" w:eastAsia="仿宋"/>
                <w:bCs/>
                <w:szCs w:val="21"/>
              </w:rPr>
              <w:t>内（</w:t>
            </w:r>
            <w:r>
              <w:rPr>
                <w:rFonts w:hint="eastAsia" w:ascii="仿宋" w:hAnsi="仿宋" w:eastAsia="仿宋"/>
                <w:b/>
                <w:szCs w:val="21"/>
              </w:rPr>
              <w:t>原定</w:t>
            </w:r>
            <w:r>
              <w:rPr>
                <w:rFonts w:ascii="仿宋" w:hAnsi="仿宋" w:eastAsia="仿宋"/>
                <w:b/>
                <w:szCs w:val="21"/>
              </w:rPr>
              <w:t>成立日至资金到账日之间</w:t>
            </w:r>
            <w:r>
              <w:rPr>
                <w:rFonts w:hint="eastAsia" w:ascii="仿宋" w:hAnsi="仿宋" w:eastAsia="仿宋"/>
                <w:b/>
                <w:szCs w:val="21"/>
              </w:rPr>
              <w:t>不计</w:t>
            </w:r>
            <w:r>
              <w:rPr>
                <w:rFonts w:ascii="仿宋" w:hAnsi="仿宋" w:eastAsia="仿宋"/>
                <w:b/>
                <w:szCs w:val="21"/>
              </w:rPr>
              <w:t>利息</w:t>
            </w:r>
            <w:r>
              <w:rPr>
                <w:rFonts w:hint="eastAsia" w:ascii="仿宋" w:hAnsi="仿宋" w:eastAsia="仿宋"/>
                <w:bCs/>
                <w:szCs w:val="21"/>
              </w:rPr>
              <w:t>）；通过其他代销机构购买的，客户已募集资金退回的具体到账账户、到账日及到账时间以代销机构划付规定为准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认购</w:t>
            </w:r>
            <w:r>
              <w:rPr>
                <w:rFonts w:hint="eastAsia" w:ascii="仿宋" w:hAnsi="仿宋" w:eastAsia="仿宋"/>
                <w:bCs/>
                <w:szCs w:val="21"/>
              </w:rPr>
              <w:t>/</w:t>
            </w:r>
            <w:r>
              <w:rPr>
                <w:rFonts w:ascii="仿宋" w:hAnsi="仿宋" w:eastAsia="仿宋"/>
                <w:bCs/>
                <w:szCs w:val="21"/>
              </w:rPr>
              <w:t>申购</w:t>
            </w:r>
          </w:p>
          <w:p>
            <w:pPr>
              <w:adjustRightInd w:val="0"/>
              <w:snapToGrid w:val="0"/>
              <w:spacing w:line="240" w:lineRule="atLeast"/>
              <w:jc w:val="center"/>
              <w:rPr>
                <w:rFonts w:ascii="仿宋" w:hAnsi="仿宋" w:eastAsia="仿宋"/>
                <w:bCs/>
                <w:szCs w:val="21"/>
              </w:rPr>
            </w:pPr>
            <w:r>
              <w:rPr>
                <w:rFonts w:ascii="仿宋" w:hAnsi="仿宋" w:eastAsia="仿宋"/>
                <w:bCs/>
                <w:szCs w:val="21"/>
              </w:rPr>
              <w:t>起点金额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1元，以1元的</w:t>
            </w:r>
            <w:r>
              <w:rPr>
                <w:rFonts w:hint="eastAsia" w:ascii="仿宋" w:hAnsi="仿宋" w:eastAsia="仿宋"/>
              </w:rPr>
              <w:t>整数倍递增</w:t>
            </w:r>
            <w:r>
              <w:rPr>
                <w:rFonts w:hint="eastAsia" w:ascii="仿宋" w:hAnsi="仿宋" w:eastAsia="仿宋"/>
                <w:bCs/>
                <w:szCs w:val="21"/>
              </w:rPr>
              <w:t>。</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rPr>
              <w:t>如代销机构规定与本规则不一致的，则以各代销机构规定为准，但不得低于本起点金额。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color w:val="000000"/>
                <w:szCs w:val="21"/>
              </w:rPr>
              <w:t>最高持有限额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最高持有限额要求：单一投资者持有本产品份额数不得超过本产品份额总数的 50%。</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投资者购买理财产品的金额超过理财账户最高持有限额时，超过的部分管理人确认失败。</w:t>
            </w:r>
            <w:r>
              <w:rPr>
                <w:rFonts w:hint="eastAsia" w:ascii="仿宋" w:hAnsi="仿宋" w:eastAsia="仿宋"/>
                <w:b/>
                <w:szCs w:val="21"/>
              </w:rPr>
              <w:t>投资者同一开放日提交申购、赎回交易，管理人先确认申购交易，并根据申购金额判断是否超过理财账户最高持有限额，可能存在日末投资者的剩余本金小于最高持有限额，但当日申购交易全部或部分失败的情况</w:t>
            </w:r>
            <w:r>
              <w:rPr>
                <w:rFonts w:hint="eastAsia" w:ascii="仿宋" w:hAnsi="仿宋" w:eastAsia="仿宋"/>
                <w:bCs/>
                <w:szCs w:val="21"/>
              </w:rPr>
              <w:t>。</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rPr>
              <w:t>如代销机构规定与本规则不一致的，则以各代销机构规定为准，但不得高于最高持有限额。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追加</w:t>
            </w:r>
            <w:r>
              <w:rPr>
                <w:rFonts w:hint="eastAsia" w:ascii="仿宋" w:hAnsi="仿宋" w:eastAsia="仿宋"/>
                <w:bCs/>
                <w:szCs w:val="21"/>
              </w:rPr>
              <w:t xml:space="preserve">购买     </w:t>
            </w:r>
            <w:r>
              <w:rPr>
                <w:rFonts w:ascii="仿宋" w:hAnsi="仿宋" w:eastAsia="仿宋"/>
                <w:bCs/>
                <w:szCs w:val="21"/>
              </w:rPr>
              <w:t>最低金额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1</w:t>
            </w:r>
            <w:r>
              <w:rPr>
                <w:rFonts w:ascii="仿宋" w:hAnsi="仿宋" w:eastAsia="仿宋"/>
                <w:bCs/>
                <w:szCs w:val="21"/>
              </w:rPr>
              <w:t>元，以</w:t>
            </w:r>
            <w:r>
              <w:rPr>
                <w:rFonts w:hint="eastAsia" w:ascii="仿宋" w:hAnsi="仿宋" w:eastAsia="仿宋"/>
                <w:bCs/>
                <w:szCs w:val="21"/>
              </w:rPr>
              <w:t>1</w:t>
            </w:r>
            <w:r>
              <w:rPr>
                <w:rFonts w:ascii="仿宋" w:hAnsi="仿宋" w:eastAsia="仿宋"/>
                <w:bCs/>
                <w:szCs w:val="21"/>
              </w:rPr>
              <w:t>元的整数倍追加</w:t>
            </w:r>
            <w:r>
              <w:rPr>
                <w:rFonts w:hint="eastAsia" w:ascii="仿宋" w:hAnsi="仿宋" w:eastAsia="仿宋"/>
                <w:bCs/>
                <w:szCs w:val="21"/>
              </w:rPr>
              <w:t>。</w:t>
            </w:r>
          </w:p>
          <w:p>
            <w:pPr>
              <w:adjustRightInd w:val="0"/>
              <w:snapToGrid w:val="0"/>
              <w:spacing w:line="240" w:lineRule="atLeast"/>
              <w:ind w:firstLine="420"/>
              <w:rPr>
                <w:rFonts w:ascii="仿宋" w:hAnsi="仿宋" w:eastAsia="仿宋"/>
                <w:bCs/>
                <w:szCs w:val="21"/>
              </w:rPr>
            </w:pPr>
            <w:r>
              <w:rPr>
                <w:rFonts w:hint="eastAsia" w:ascii="仿宋" w:hAnsi="仿宋" w:eastAsia="仿宋"/>
              </w:rPr>
              <w:t>如代销机构规定与本规则不一致，则以各代销机构规定为准，但不得低于本追加起点金额。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单笔赎回</w:t>
            </w:r>
            <w:r>
              <w:rPr>
                <w:rFonts w:hint="eastAsia" w:ascii="仿宋" w:hAnsi="仿宋" w:eastAsia="仿宋"/>
                <w:bCs/>
                <w:szCs w:val="21"/>
              </w:rPr>
              <w:t xml:space="preserve">     </w:t>
            </w:r>
            <w:r>
              <w:rPr>
                <w:rFonts w:ascii="仿宋" w:hAnsi="仿宋" w:eastAsia="仿宋"/>
                <w:bCs/>
                <w:szCs w:val="21"/>
              </w:rPr>
              <w:t>最低</w:t>
            </w:r>
            <w:r>
              <w:rPr>
                <w:rFonts w:hint="eastAsia" w:ascii="仿宋" w:hAnsi="仿宋" w:eastAsia="仿宋"/>
                <w:bCs/>
                <w:szCs w:val="21"/>
              </w:rPr>
              <w:t>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如代销机构规定与本规则不一致，则以各代销机构规定为准，但不得低于本条款约定限额。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理财账户</w:t>
            </w:r>
            <w:r>
              <w:rPr>
                <w:rFonts w:hint="eastAsia" w:ascii="仿宋" w:hAnsi="仿宋" w:eastAsia="仿宋"/>
                <w:bCs/>
                <w:szCs w:val="21"/>
              </w:rPr>
              <w:t xml:space="preserve">     </w:t>
            </w:r>
            <w:r>
              <w:rPr>
                <w:rFonts w:ascii="仿宋" w:hAnsi="仿宋" w:eastAsia="仿宋"/>
                <w:bCs/>
                <w:szCs w:val="21"/>
              </w:rPr>
              <w:t>最</w:t>
            </w:r>
            <w:r>
              <w:rPr>
                <w:rFonts w:hint="eastAsia" w:ascii="仿宋" w:hAnsi="仿宋" w:eastAsia="仿宋"/>
                <w:bCs/>
                <w:szCs w:val="21"/>
              </w:rPr>
              <w:t>低保留限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p>
            <w:pPr>
              <w:adjustRightInd w:val="0"/>
              <w:snapToGrid w:val="0"/>
              <w:spacing w:line="240" w:lineRule="atLeast"/>
              <w:ind w:firstLine="420"/>
              <w:rPr>
                <w:rFonts w:ascii="仿宋" w:hAnsi="仿宋" w:eastAsia="仿宋"/>
                <w:b/>
                <w:szCs w:val="21"/>
              </w:rPr>
            </w:pPr>
            <w:r>
              <w:rPr>
                <w:rFonts w:hint="eastAsia" w:ascii="仿宋" w:hAnsi="仿宋" w:eastAsia="仿宋"/>
                <w:b/>
                <w:szCs w:val="21"/>
              </w:rPr>
              <w:t>投资者发起赎回交易时，将触发判断理财账户份额余额是否低于最低保留限额要求，可能引发强制赎回交易，具体约定详见“赎回规定”。</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如代销机构规定与本规则不一致，则以各代销机构规定为准，但不得低于本条款约定限额。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份额净值</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份额净值为提取管理费、托管费、销售手续费等相关费用后的理财产品份额净值，投资者按该份额净值进行申购、赎回和到期/终止时的分配。</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份额净值的计算保留到小数点后</w:t>
            </w:r>
            <w:r>
              <w:rPr>
                <w:rFonts w:ascii="仿宋" w:hAnsi="仿宋" w:eastAsia="仿宋"/>
                <w:bCs/>
                <w:szCs w:val="21"/>
              </w:rPr>
              <w:t>4</w:t>
            </w:r>
            <w:r>
              <w:rPr>
                <w:rFonts w:hint="eastAsia" w:ascii="仿宋" w:hAnsi="仿宋" w:eastAsia="仿宋"/>
                <w:bCs/>
                <w:szCs w:val="21"/>
              </w:rPr>
              <w:t>位，小数点后第</w:t>
            </w:r>
            <w:r>
              <w:rPr>
                <w:rFonts w:ascii="仿宋" w:hAnsi="仿宋" w:eastAsia="仿宋"/>
                <w:bCs/>
                <w:szCs w:val="21"/>
              </w:rPr>
              <w:t>5</w:t>
            </w:r>
            <w:r>
              <w:rPr>
                <w:rFonts w:hint="eastAsia" w:ascii="仿宋" w:hAnsi="仿宋" w:eastAsia="仿宋"/>
                <w:bCs/>
                <w:szCs w:val="21"/>
              </w:rPr>
              <w:t>位四舍五入</w:t>
            </w:r>
            <w:r>
              <w:rPr>
                <w:rFonts w:hint="eastAsia" w:ascii="仿宋" w:hAnsi="仿宋" w:eastAsia="仿宋"/>
                <w:bCs/>
                <w:szCs w:val="21"/>
                <w:lang w:val="en-GB"/>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认购份额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认购份额=认购金额/1元。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申购份额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u w:val="single"/>
              </w:rPr>
            </w:pPr>
            <w:r>
              <w:rPr>
                <w:rFonts w:ascii="仿宋" w:hAnsi="仿宋" w:eastAsia="仿宋"/>
                <w:bCs/>
                <w:szCs w:val="21"/>
              </w:rPr>
              <w:t>申购份额＝申购金额/申购</w:t>
            </w:r>
            <w:r>
              <w:rPr>
                <w:rFonts w:hint="eastAsia" w:ascii="仿宋" w:hAnsi="仿宋" w:eastAsia="仿宋"/>
                <w:bCs/>
                <w:szCs w:val="21"/>
              </w:rPr>
              <w:t>申请日日终的产品份额净值,申购份额保留到小数点后</w:t>
            </w:r>
            <w:r>
              <w:rPr>
                <w:rFonts w:ascii="仿宋" w:hAnsi="仿宋" w:eastAsia="仿宋"/>
                <w:bCs/>
                <w:szCs w:val="21"/>
              </w:rPr>
              <w:t>2</w:t>
            </w:r>
            <w:r>
              <w:rPr>
                <w:rFonts w:hint="eastAsia" w:ascii="仿宋" w:hAnsi="仿宋" w:eastAsia="仿宋"/>
                <w:bCs/>
                <w:szCs w:val="21"/>
              </w:rPr>
              <w:t>位，小数点后第</w:t>
            </w:r>
            <w:r>
              <w:rPr>
                <w:rFonts w:ascii="仿宋" w:hAnsi="仿宋" w:eastAsia="仿宋"/>
                <w:bCs/>
                <w:szCs w:val="21"/>
              </w:rPr>
              <w:t>3</w:t>
            </w:r>
            <w:r>
              <w:rPr>
                <w:rFonts w:hint="eastAsia" w:ascii="仿宋" w:hAnsi="仿宋" w:eastAsia="仿宋"/>
                <w:bCs/>
                <w:szCs w:val="21"/>
              </w:rPr>
              <w:t>位四舍五入。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工作日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本说明书中所写的“确认日”、“到账日”，除非特别说明均为工作日，若遇非工作日顺延至下一工作日。</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指上海证券交易所和深圳证券交易所的交易日，且同时为银行对外办理一般对公业务的工作日。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开放期、</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开放日（T日）及开放时间</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开放期/开放日为产品成立后每年05月、11月的04日（含）起连续3个工作日开放，开放期/开放日如遇非工作日则顺延至下一个工作日。</w:t>
            </w:r>
          </w:p>
          <w:tbl>
            <w:tblPr>
              <w:tblStyle w:val="11"/>
              <w:tblW w:w="0" w:type="auto"/>
              <w:tblInd w:w="4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5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Pr>
                <w:p>
                  <w:pPr>
                    <w:adjustRightInd w:val="0"/>
                    <w:snapToGrid w:val="0"/>
                    <w:spacing w:line="240" w:lineRule="atLeast"/>
                    <w:ind w:right="-44"/>
                    <w:jc w:val="center"/>
                    <w:rPr>
                      <w:rFonts w:ascii="仿宋" w:hAnsi="仿宋" w:eastAsia="仿宋"/>
                      <w:b/>
                      <w:bCs/>
                      <w:szCs w:val="21"/>
                    </w:rPr>
                  </w:pPr>
                  <w:r>
                    <w:rPr>
                      <w:rFonts w:hint="eastAsia" w:ascii="仿宋" w:hAnsi="仿宋" w:eastAsia="仿宋"/>
                      <w:b/>
                      <w:bCs/>
                      <w:szCs w:val="21"/>
                    </w:rPr>
                    <w:t>交易类型</w:t>
                  </w:r>
                </w:p>
              </w:tc>
              <w:tc>
                <w:tcPr>
                  <w:tcW w:w="5406" w:type="dxa"/>
                </w:tcPr>
                <w:p>
                  <w:pPr>
                    <w:adjustRightInd w:val="0"/>
                    <w:snapToGrid w:val="0"/>
                    <w:spacing w:line="240" w:lineRule="atLeast"/>
                    <w:ind w:right="-44"/>
                    <w:jc w:val="center"/>
                    <w:rPr>
                      <w:rFonts w:ascii="仿宋" w:hAnsi="仿宋" w:eastAsia="仿宋"/>
                      <w:b/>
                      <w:bCs/>
                      <w:szCs w:val="21"/>
                    </w:rPr>
                  </w:pPr>
                  <w:r>
                    <w:rPr>
                      <w:rFonts w:hint="eastAsia" w:ascii="仿宋" w:hAnsi="仿宋" w:eastAsia="仿宋"/>
                      <w:b/>
                      <w:bCs/>
                      <w:szCs w:val="21"/>
                    </w:rPr>
                    <w:t>开放日及开放时间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Pr>
                <w:p>
                  <w:pPr>
                    <w:adjustRightInd w:val="0"/>
                    <w:snapToGrid w:val="0"/>
                    <w:spacing w:line="240" w:lineRule="atLeast"/>
                    <w:ind w:right="-44"/>
                    <w:jc w:val="center"/>
                    <w:rPr>
                      <w:rFonts w:ascii="仿宋" w:hAnsi="仿宋" w:eastAsia="仿宋"/>
                      <w:bCs/>
                      <w:szCs w:val="21"/>
                    </w:rPr>
                  </w:pPr>
                  <w:r>
                    <w:rPr>
                      <w:rFonts w:hint="eastAsia" w:ascii="仿宋" w:hAnsi="仿宋" w:eastAsia="仿宋"/>
                      <w:bCs/>
                      <w:szCs w:val="21"/>
                    </w:rPr>
                    <w:t>申购</w:t>
                  </w:r>
                </w:p>
              </w:tc>
              <w:tc>
                <w:tcPr>
                  <w:tcW w:w="5406" w:type="dxa"/>
                </w:tcPr>
                <w:p>
                  <w:pPr>
                    <w:adjustRightInd w:val="0"/>
                    <w:snapToGrid w:val="0"/>
                    <w:spacing w:line="240" w:lineRule="atLeast"/>
                    <w:ind w:right="-44"/>
                    <w:rPr>
                      <w:rFonts w:ascii="仿宋" w:hAnsi="仿宋" w:eastAsia="仿宋"/>
                      <w:bCs/>
                      <w:szCs w:val="21"/>
                      <w:u w:val="single"/>
                    </w:rPr>
                  </w:pPr>
                  <w:r>
                    <w:rPr>
                      <w:rFonts w:hint="eastAsia" w:ascii="仿宋" w:hAnsi="仿宋" w:eastAsia="仿宋"/>
                      <w:bCs/>
                      <w:szCs w:val="21"/>
                    </w:rPr>
                    <w:t>通过华夏银行/华夏理财购买的，每个开放日的开放时间</w:t>
                  </w:r>
                  <w:r>
                    <w:rPr>
                      <w:rFonts w:hint="eastAsia" w:ascii="仿宋" w:hAnsi="仿宋" w:eastAsia="仿宋"/>
                    </w:rPr>
                    <w:t>9:00-17:00。投资者只能于开放日的开放时间内进行申购。投资者若在T日非开放时间提交申购，等同在下一开放时间内提交的申购申请，T日为开放日。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Pr>
                <w:p>
                  <w:pPr>
                    <w:adjustRightInd w:val="0"/>
                    <w:snapToGrid w:val="0"/>
                    <w:spacing w:line="240" w:lineRule="atLeast"/>
                    <w:ind w:right="-44"/>
                    <w:jc w:val="center"/>
                    <w:rPr>
                      <w:rFonts w:ascii="仿宋" w:hAnsi="仿宋" w:eastAsia="仿宋"/>
                      <w:bCs/>
                      <w:szCs w:val="21"/>
                    </w:rPr>
                  </w:pPr>
                  <w:r>
                    <w:rPr>
                      <w:rFonts w:hint="eastAsia" w:ascii="仿宋" w:hAnsi="仿宋" w:eastAsia="仿宋"/>
                      <w:bCs/>
                      <w:szCs w:val="21"/>
                    </w:rPr>
                    <w:t>赎回</w:t>
                  </w:r>
                </w:p>
              </w:tc>
              <w:tc>
                <w:tcPr>
                  <w:tcW w:w="5406" w:type="dxa"/>
                </w:tcPr>
                <w:p>
                  <w:pPr>
                    <w:adjustRightInd w:val="0"/>
                    <w:snapToGrid w:val="0"/>
                    <w:spacing w:line="240" w:lineRule="atLeast"/>
                    <w:ind w:right="-44"/>
                    <w:rPr>
                      <w:rFonts w:ascii="仿宋" w:hAnsi="仿宋" w:eastAsia="仿宋"/>
                      <w:bCs/>
                      <w:szCs w:val="21"/>
                    </w:rPr>
                  </w:pPr>
                  <w:r>
                    <w:rPr>
                      <w:rFonts w:hint="eastAsia" w:ascii="仿宋" w:hAnsi="仿宋" w:eastAsia="仿宋"/>
                      <w:bCs/>
                      <w:szCs w:val="21"/>
                    </w:rPr>
                    <w:t>通过华夏银行/华夏理财购买的，每个开放日的开放时间</w:t>
                  </w:r>
                  <w:r>
                    <w:rPr>
                      <w:rFonts w:hint="eastAsia" w:ascii="仿宋" w:hAnsi="仿宋" w:eastAsia="仿宋"/>
                    </w:rPr>
                    <w:t>9:00-17:00。投资者只能于开放日的开放时间内进行赎回。投资者若在T日非开放时间提交赎回，等同在下一开放时间内提交的赎回申请，T日为开放日。</w:t>
                  </w:r>
                </w:p>
              </w:tc>
            </w:tr>
          </w:tbl>
          <w:p>
            <w:pPr>
              <w:adjustRightInd w:val="0"/>
              <w:snapToGrid w:val="0"/>
              <w:spacing w:line="240" w:lineRule="atLeast"/>
              <w:ind w:right="-44" w:firstLine="422" w:firstLineChars="200"/>
              <w:jc w:val="left"/>
              <w:rPr>
                <w:rFonts w:ascii="仿宋" w:hAnsi="仿宋" w:eastAsia="仿宋"/>
                <w:b/>
                <w:bCs/>
                <w:szCs w:val="21"/>
              </w:rPr>
            </w:pPr>
          </w:p>
          <w:p>
            <w:pPr>
              <w:adjustRightInd w:val="0"/>
              <w:snapToGrid w:val="0"/>
              <w:spacing w:line="240" w:lineRule="atLeast"/>
              <w:ind w:right="-44" w:firstLine="420" w:firstLineChars="200"/>
              <w:jc w:val="left"/>
              <w:rPr>
                <w:rFonts w:ascii="仿宋" w:hAnsi="仿宋" w:eastAsia="仿宋"/>
                <w:szCs w:val="21"/>
              </w:rPr>
            </w:pPr>
            <w:r>
              <w:rPr>
                <w:rFonts w:hint="eastAsia" w:ascii="仿宋" w:hAnsi="仿宋" w:eastAsia="仿宋"/>
                <w:szCs w:val="21"/>
              </w:rPr>
              <w:t>代销机构如另有规定，从其规定。</w:t>
            </w:r>
          </w:p>
          <w:p>
            <w:pPr>
              <w:adjustRightInd w:val="0"/>
              <w:snapToGrid w:val="0"/>
              <w:spacing w:line="240" w:lineRule="atLeast"/>
              <w:ind w:right="-44" w:firstLine="422" w:firstLineChars="200"/>
              <w:jc w:val="left"/>
              <w:rPr>
                <w:rFonts w:ascii="仿宋" w:hAnsi="仿宋" w:eastAsia="仿宋"/>
                <w:bCs/>
                <w:szCs w:val="21"/>
              </w:rPr>
            </w:pPr>
            <w:r>
              <w:rPr>
                <w:rFonts w:hint="eastAsia" w:ascii="仿宋" w:hAnsi="仿宋" w:eastAsia="仿宋"/>
                <w:b/>
                <w:bCs/>
                <w:szCs w:val="21"/>
              </w:rPr>
              <w:t>开放期内每个开放日的份额净值</w:t>
            </w:r>
            <w:r>
              <w:rPr>
                <w:rFonts w:ascii="仿宋" w:hAnsi="仿宋" w:eastAsia="仿宋"/>
                <w:b/>
                <w:bCs/>
                <w:color w:val="000000"/>
                <w:szCs w:val="21"/>
              </w:rPr>
              <w:t>将</w:t>
            </w:r>
            <w:r>
              <w:rPr>
                <w:rFonts w:hint="eastAsia" w:ascii="仿宋" w:hAnsi="仿宋" w:eastAsia="仿宋"/>
                <w:b/>
                <w:bCs/>
                <w:color w:val="000000"/>
                <w:szCs w:val="21"/>
              </w:rPr>
              <w:t>随</w:t>
            </w:r>
            <w:r>
              <w:rPr>
                <w:rFonts w:ascii="仿宋" w:hAnsi="仿宋" w:eastAsia="仿宋"/>
                <w:b/>
                <w:bCs/>
                <w:color w:val="000000"/>
                <w:szCs w:val="21"/>
              </w:rPr>
              <w:t>市场波动，具有不</w:t>
            </w:r>
            <w:r>
              <w:rPr>
                <w:rFonts w:hint="eastAsia" w:ascii="仿宋" w:hAnsi="仿宋" w:eastAsia="仿宋"/>
                <w:b/>
                <w:bCs/>
                <w:color w:val="000000"/>
                <w:szCs w:val="21"/>
              </w:rPr>
              <w:t>确定</w:t>
            </w:r>
            <w:r>
              <w:rPr>
                <w:rFonts w:ascii="仿宋" w:hAnsi="仿宋" w:eastAsia="仿宋"/>
                <w:b/>
                <w:bCs/>
                <w:color w:val="000000"/>
                <w:szCs w:val="21"/>
              </w:rPr>
              <w:t>性</w:t>
            </w:r>
            <w:r>
              <w:rPr>
                <w:rFonts w:hint="eastAsia" w:ascii="仿宋" w:hAnsi="仿宋" w:eastAsia="仿宋"/>
                <w:b/>
                <w:bCs/>
                <w:color w:val="000000"/>
                <w:szCs w:val="21"/>
              </w:rPr>
              <w:t>。</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华夏理财有权调整按上述规则确定的开放日，并在调整之前3个工作日公告。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预约购买及</w:t>
            </w:r>
          </w:p>
          <w:p>
            <w:pPr>
              <w:adjustRightInd w:val="0"/>
              <w:snapToGrid w:val="0"/>
              <w:spacing w:line="240" w:lineRule="atLeast"/>
              <w:jc w:val="center"/>
              <w:rPr>
                <w:rFonts w:ascii="仿宋" w:hAnsi="仿宋" w:eastAsia="仿宋"/>
                <w:bCs/>
                <w:szCs w:val="21"/>
              </w:rPr>
            </w:pPr>
            <w:r>
              <w:rPr>
                <w:rFonts w:ascii="仿宋" w:hAnsi="仿宋" w:eastAsia="仿宋"/>
                <w:bCs/>
                <w:szCs w:val="21"/>
              </w:rPr>
              <w:t>预约赎回</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rPr>
                <w:rFonts w:ascii="仿宋" w:hAnsi="仿宋" w:eastAsia="仿宋"/>
                <w:bCs/>
                <w:szCs w:val="21"/>
              </w:rPr>
            </w:pPr>
            <w:r>
              <w:rPr>
                <w:rFonts w:hint="eastAsia" w:ascii="仿宋" w:hAnsi="仿宋" w:eastAsia="仿宋"/>
                <w:bCs/>
                <w:szCs w:val="21"/>
              </w:rPr>
              <w:t>封闭期内的最后</w:t>
            </w:r>
            <w:r>
              <w:rPr>
                <w:rFonts w:ascii="仿宋" w:hAnsi="仿宋" w:eastAsia="仿宋"/>
                <w:bCs/>
                <w:szCs w:val="21"/>
              </w:rPr>
              <w:t>一</w:t>
            </w:r>
            <w:r>
              <w:rPr>
                <w:rFonts w:hint="eastAsia" w:ascii="仿宋" w:hAnsi="仿宋" w:eastAsia="仿宋"/>
                <w:bCs/>
                <w:szCs w:val="21"/>
              </w:rPr>
              <w:t>个</w:t>
            </w:r>
            <w:r>
              <w:rPr>
                <w:rFonts w:ascii="仿宋" w:hAnsi="仿宋" w:eastAsia="仿宋"/>
                <w:bCs/>
                <w:szCs w:val="21"/>
              </w:rPr>
              <w:t>工作日</w:t>
            </w:r>
            <w:r>
              <w:rPr>
                <w:rFonts w:hint="eastAsia" w:ascii="仿宋" w:hAnsi="仿宋" w:eastAsia="仿宋"/>
              </w:rPr>
              <w:t>17:30（不含）</w:t>
            </w:r>
            <w:r>
              <w:rPr>
                <w:rFonts w:hint="eastAsia" w:ascii="仿宋" w:hAnsi="仿宋" w:eastAsia="仿宋"/>
                <w:bCs/>
                <w:szCs w:val="21"/>
              </w:rPr>
              <w:t>前</w:t>
            </w:r>
            <w:r>
              <w:rPr>
                <w:rFonts w:ascii="仿宋" w:hAnsi="仿宋" w:eastAsia="仿宋"/>
                <w:bCs/>
                <w:szCs w:val="21"/>
              </w:rPr>
              <w:t>，</w:t>
            </w:r>
            <w:r>
              <w:rPr>
                <w:rFonts w:hint="eastAsia" w:ascii="仿宋" w:hAnsi="仿宋" w:eastAsia="仿宋"/>
                <w:bCs/>
                <w:szCs w:val="21"/>
              </w:rPr>
              <w:t>可接受通过</w:t>
            </w:r>
            <w:r>
              <w:rPr>
                <w:rFonts w:ascii="仿宋" w:hAnsi="仿宋" w:eastAsia="仿宋"/>
                <w:bCs/>
                <w:szCs w:val="21"/>
              </w:rPr>
              <w:t>华夏</w:t>
            </w:r>
            <w:r>
              <w:rPr>
                <w:rFonts w:hint="eastAsia" w:ascii="仿宋" w:hAnsi="仿宋" w:eastAsia="仿宋"/>
                <w:bCs/>
                <w:szCs w:val="21"/>
              </w:rPr>
              <w:t>银行/华夏理财</w:t>
            </w:r>
            <w:r>
              <w:rPr>
                <w:rFonts w:ascii="仿宋" w:hAnsi="仿宋" w:eastAsia="仿宋"/>
                <w:bCs/>
                <w:szCs w:val="21"/>
              </w:rPr>
              <w:t>购买的投资者</w:t>
            </w:r>
            <w:r>
              <w:rPr>
                <w:rFonts w:hint="eastAsia" w:ascii="仿宋" w:hAnsi="仿宋" w:eastAsia="仿宋"/>
                <w:bCs/>
                <w:szCs w:val="21"/>
              </w:rPr>
              <w:t>预约</w:t>
            </w:r>
            <w:r>
              <w:rPr>
                <w:rFonts w:ascii="仿宋" w:hAnsi="仿宋" w:eastAsia="仿宋"/>
                <w:bCs/>
                <w:szCs w:val="21"/>
              </w:rPr>
              <w:t>购买</w:t>
            </w:r>
            <w:r>
              <w:rPr>
                <w:rFonts w:hint="eastAsia" w:ascii="仿宋" w:hAnsi="仿宋" w:eastAsia="仿宋"/>
                <w:bCs/>
                <w:szCs w:val="21"/>
              </w:rPr>
              <w:t>、预约赎回申请</w:t>
            </w:r>
            <w:r>
              <w:rPr>
                <w:rFonts w:ascii="仿宋" w:hAnsi="仿宋" w:eastAsia="仿宋"/>
                <w:bCs/>
                <w:szCs w:val="21"/>
              </w:rPr>
              <w:t>，</w:t>
            </w:r>
            <w:r>
              <w:rPr>
                <w:rFonts w:hint="eastAsia" w:ascii="仿宋" w:hAnsi="仿宋" w:eastAsia="仿宋"/>
                <w:bCs/>
                <w:szCs w:val="21"/>
              </w:rPr>
              <w:t>视</w:t>
            </w:r>
            <w:r>
              <w:rPr>
                <w:rFonts w:ascii="仿宋" w:hAnsi="仿宋" w:eastAsia="仿宋"/>
                <w:bCs/>
                <w:szCs w:val="21"/>
              </w:rPr>
              <w:t>同在</w:t>
            </w:r>
            <w:r>
              <w:rPr>
                <w:rFonts w:hint="eastAsia" w:ascii="仿宋" w:hAnsi="仿宋" w:eastAsia="仿宋"/>
                <w:bCs/>
                <w:szCs w:val="21"/>
              </w:rPr>
              <w:t>下</w:t>
            </w:r>
            <w:r>
              <w:rPr>
                <w:rFonts w:ascii="仿宋" w:hAnsi="仿宋" w:eastAsia="仿宋"/>
                <w:bCs/>
                <w:szCs w:val="21"/>
              </w:rPr>
              <w:t>一</w:t>
            </w:r>
            <w:r>
              <w:rPr>
                <w:rFonts w:hint="eastAsia" w:ascii="仿宋" w:hAnsi="仿宋" w:eastAsia="仿宋"/>
                <w:bCs/>
                <w:szCs w:val="21"/>
              </w:rPr>
              <w:t>个申购/赎回</w:t>
            </w:r>
            <w:r>
              <w:rPr>
                <w:rFonts w:ascii="仿宋" w:hAnsi="仿宋" w:eastAsia="仿宋"/>
                <w:bCs/>
                <w:szCs w:val="21"/>
              </w:rPr>
              <w:t>开放日开放时间内</w:t>
            </w:r>
            <w:r>
              <w:rPr>
                <w:rFonts w:hint="eastAsia" w:ascii="仿宋" w:hAnsi="仿宋" w:eastAsia="仿宋"/>
                <w:bCs/>
                <w:szCs w:val="21"/>
              </w:rPr>
              <w:t>提交</w:t>
            </w:r>
            <w:r>
              <w:rPr>
                <w:rFonts w:ascii="仿宋" w:hAnsi="仿宋" w:eastAsia="仿宋"/>
                <w:bCs/>
                <w:szCs w:val="21"/>
              </w:rPr>
              <w:t>的</w:t>
            </w:r>
            <w:r>
              <w:rPr>
                <w:rFonts w:hint="eastAsia" w:ascii="仿宋" w:hAnsi="仿宋" w:eastAsia="仿宋"/>
                <w:bCs/>
                <w:szCs w:val="21"/>
              </w:rPr>
              <w:t>申购</w:t>
            </w:r>
            <w:r>
              <w:rPr>
                <w:rFonts w:ascii="仿宋" w:hAnsi="仿宋" w:eastAsia="仿宋"/>
                <w:bCs/>
                <w:szCs w:val="21"/>
              </w:rPr>
              <w:t>、赎回申请</w:t>
            </w:r>
            <w:r>
              <w:rPr>
                <w:rFonts w:hint="eastAsia" w:ascii="仿宋" w:hAnsi="仿宋" w:eastAsia="仿宋"/>
                <w:bCs/>
                <w:szCs w:val="21"/>
              </w:rPr>
              <w:t>。</w:t>
            </w:r>
          </w:p>
          <w:p>
            <w:pPr>
              <w:adjustRightInd w:val="0"/>
              <w:snapToGrid w:val="0"/>
              <w:spacing w:line="240" w:lineRule="atLeast"/>
              <w:ind w:right="-44" w:firstLine="420" w:firstLineChars="200"/>
              <w:rPr>
                <w:rFonts w:ascii="仿宋" w:hAnsi="仿宋" w:eastAsia="仿宋"/>
                <w:bCs/>
                <w:szCs w:val="21"/>
              </w:rPr>
            </w:pPr>
            <w:r>
              <w:rPr>
                <w:rFonts w:hint="eastAsia" w:ascii="仿宋" w:hAnsi="仿宋" w:eastAsia="仿宋"/>
                <w:bCs/>
                <w:szCs w:val="21"/>
              </w:rPr>
              <w:t>华夏银行/华夏理财将在预约购买申请提出日之后的第一个申购开放日根据预约购买申请扣款，如扣款失败,则预约购买申请不成功。</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szCs w:val="21"/>
              </w:rPr>
              <w:t>代销机构如另有规定，从其规定。</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申购确认</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ascii="仿宋" w:hAnsi="仿宋" w:eastAsia="仿宋"/>
                <w:bCs/>
                <w:szCs w:val="21"/>
              </w:rPr>
            </w:pPr>
            <w:r>
              <w:rPr>
                <w:rFonts w:ascii="仿宋" w:hAnsi="仿宋" w:eastAsia="仿宋"/>
                <w:bCs/>
                <w:szCs w:val="21"/>
              </w:rPr>
              <w:t>T日</w:t>
            </w:r>
            <w:r>
              <w:rPr>
                <w:rFonts w:hint="eastAsia" w:ascii="仿宋" w:hAnsi="仿宋" w:eastAsia="仿宋"/>
                <w:bCs/>
                <w:szCs w:val="21"/>
              </w:rPr>
              <w:t>申购</w:t>
            </w:r>
            <w:r>
              <w:rPr>
                <w:rFonts w:ascii="仿宋" w:hAnsi="仿宋" w:eastAsia="仿宋"/>
                <w:bCs/>
                <w:szCs w:val="21"/>
              </w:rPr>
              <w:t>，</w:t>
            </w:r>
            <w:r>
              <w:rPr>
                <w:rFonts w:hint="eastAsia" w:ascii="仿宋" w:hAnsi="仿宋" w:eastAsia="仿宋"/>
                <w:bCs/>
                <w:szCs w:val="21"/>
              </w:rPr>
              <w:t>T+1日</w:t>
            </w:r>
            <w:r>
              <w:rPr>
                <w:rFonts w:ascii="仿宋" w:hAnsi="仿宋" w:eastAsia="仿宋"/>
                <w:bCs/>
                <w:szCs w:val="21"/>
              </w:rPr>
              <w:t>确认。T日为开放日。</w:t>
            </w:r>
            <w:r>
              <w:rPr>
                <w:rFonts w:hint="eastAsia" w:ascii="仿宋" w:hAnsi="仿宋" w:eastAsia="仿宋"/>
                <w:bCs/>
                <w:szCs w:val="21"/>
              </w:rPr>
              <w:t>通过华夏银行/华夏理财购买的，T日扣款；通过其他代销机构购买的，扣款规则以代销机构规定为准。</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以申购申请日的日终份额净值确认，按照“金额申购”的原则计算申购份额。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赎回确认</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ascii="仿宋" w:hAnsi="仿宋" w:eastAsia="仿宋"/>
                <w:bCs/>
                <w:szCs w:val="21"/>
              </w:rPr>
            </w:pPr>
            <w:r>
              <w:rPr>
                <w:rFonts w:ascii="仿宋" w:hAnsi="仿宋" w:eastAsia="仿宋"/>
                <w:bCs/>
                <w:szCs w:val="21"/>
              </w:rPr>
              <w:t>T日赎回，</w:t>
            </w:r>
            <w:r>
              <w:rPr>
                <w:rFonts w:hint="eastAsia" w:ascii="仿宋" w:hAnsi="仿宋" w:eastAsia="仿宋"/>
                <w:bCs/>
                <w:szCs w:val="21"/>
              </w:rPr>
              <w:t>T+1日</w:t>
            </w:r>
            <w:r>
              <w:rPr>
                <w:rFonts w:ascii="仿宋" w:hAnsi="仿宋" w:eastAsia="仿宋"/>
                <w:bCs/>
                <w:szCs w:val="21"/>
              </w:rPr>
              <w:t>确认</w:t>
            </w:r>
            <w:r>
              <w:rPr>
                <w:rFonts w:hint="eastAsia" w:ascii="仿宋" w:hAnsi="仿宋" w:eastAsia="仿宋"/>
                <w:bCs/>
                <w:szCs w:val="21"/>
              </w:rPr>
              <w:t>。</w:t>
            </w:r>
          </w:p>
          <w:p>
            <w:pPr>
              <w:adjustRightInd w:val="0"/>
              <w:snapToGrid w:val="0"/>
              <w:spacing w:line="240" w:lineRule="atLeast"/>
              <w:ind w:right="-44" w:firstLine="420" w:firstLineChars="200"/>
              <w:jc w:val="left"/>
              <w:rPr>
                <w:rFonts w:ascii="仿宋" w:hAnsi="仿宋" w:eastAsia="仿宋"/>
                <w:bCs/>
                <w:color w:val="FF6600"/>
                <w:szCs w:val="21"/>
              </w:rPr>
            </w:pPr>
            <w:r>
              <w:rPr>
                <w:rFonts w:hint="eastAsia" w:ascii="仿宋" w:hAnsi="仿宋" w:eastAsia="仿宋"/>
                <w:bCs/>
                <w:szCs w:val="21"/>
              </w:rPr>
              <w:t>通过华夏理财赎回的，投资者</w:t>
            </w:r>
            <w:r>
              <w:rPr>
                <w:rFonts w:ascii="仿宋" w:hAnsi="仿宋" w:eastAsia="仿宋"/>
                <w:bCs/>
                <w:szCs w:val="21"/>
              </w:rPr>
              <w:t>赎回资金</w:t>
            </w:r>
            <w:r>
              <w:rPr>
                <w:rFonts w:hint="eastAsia" w:ascii="仿宋" w:hAnsi="仿宋" w:eastAsia="仿宋"/>
                <w:bCs/>
                <w:szCs w:val="21"/>
              </w:rPr>
              <w:t>于T+2日24点前</w:t>
            </w:r>
            <w:r>
              <w:rPr>
                <w:rFonts w:ascii="仿宋" w:hAnsi="仿宋" w:eastAsia="仿宋"/>
                <w:bCs/>
                <w:szCs w:val="21"/>
              </w:rPr>
              <w:t>到账</w:t>
            </w:r>
            <w:r>
              <w:rPr>
                <w:rFonts w:hint="eastAsia" w:ascii="仿宋" w:hAnsi="仿宋" w:eastAsia="仿宋"/>
                <w:bCs/>
                <w:szCs w:val="21"/>
              </w:rPr>
              <w:t>；通过华夏银行赎回的，投资者</w:t>
            </w:r>
            <w:r>
              <w:rPr>
                <w:rFonts w:ascii="仿宋" w:hAnsi="仿宋" w:eastAsia="仿宋"/>
                <w:bCs/>
                <w:szCs w:val="21"/>
              </w:rPr>
              <w:t>赎回资金</w:t>
            </w:r>
            <w:r>
              <w:rPr>
                <w:rFonts w:hint="eastAsia" w:ascii="仿宋" w:hAnsi="仿宋" w:eastAsia="仿宋"/>
                <w:bCs/>
                <w:szCs w:val="21"/>
              </w:rPr>
              <w:t>于T+2日24点前</w:t>
            </w:r>
            <w:r>
              <w:rPr>
                <w:rFonts w:ascii="仿宋" w:hAnsi="仿宋" w:eastAsia="仿宋"/>
                <w:bCs/>
                <w:szCs w:val="21"/>
              </w:rPr>
              <w:t>到账</w:t>
            </w:r>
            <w:r>
              <w:rPr>
                <w:rFonts w:hint="eastAsia" w:ascii="仿宋" w:hAnsi="仿宋" w:eastAsia="仿宋"/>
                <w:bCs/>
                <w:szCs w:val="21"/>
              </w:rPr>
              <w:t>；通过其他代销机构赎回的，投资者赎回资金的具体到账账户、到账日及到账时间以代销机构划付规定为准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ascii="仿宋" w:hAnsi="仿宋" w:eastAsia="仿宋"/>
                <w:b/>
                <w:bCs/>
                <w:szCs w:val="21"/>
              </w:rPr>
            </w:pPr>
            <w:r>
              <w:rPr>
                <w:rFonts w:hint="eastAsia" w:ascii="仿宋" w:hAnsi="仿宋" w:eastAsia="仿宋"/>
                <w:bCs/>
                <w:szCs w:val="21"/>
              </w:rPr>
              <w:t>本理财产品采取份额赎回的方式。投资者可选择全额或部分赎回，部分赎回后投资者持有本理财产品的日末余额低于理财账户最低保留限额时，</w:t>
            </w:r>
            <w:r>
              <w:rPr>
                <w:rFonts w:hint="eastAsia" w:ascii="仿宋" w:hAnsi="仿宋" w:eastAsia="仿宋"/>
                <w:b/>
                <w:bCs/>
                <w:szCs w:val="21"/>
              </w:rPr>
              <w:t>华夏理财将在赎回确认日末对投资者的剩余份额发起强制赎回。</w:t>
            </w:r>
          </w:p>
          <w:p>
            <w:pPr>
              <w:adjustRightInd w:val="0"/>
              <w:snapToGrid w:val="0"/>
              <w:spacing w:line="240" w:lineRule="atLeast"/>
              <w:ind w:right="-44" w:firstLine="422" w:firstLineChars="200"/>
              <w:jc w:val="left"/>
              <w:rPr>
                <w:rFonts w:ascii="仿宋" w:hAnsi="仿宋" w:eastAsia="仿宋"/>
                <w:b/>
                <w:bCs/>
                <w:szCs w:val="21"/>
              </w:rPr>
            </w:pPr>
            <w:r>
              <w:rPr>
                <w:rFonts w:hint="eastAsia" w:ascii="仿宋" w:hAnsi="仿宋" w:eastAsia="仿宋"/>
                <w:b/>
                <w:bCs/>
                <w:szCs w:val="21"/>
              </w:rPr>
              <w:t>若客户在同一开放日提交申购和赎回原持有份额的交易申请，经申购和赎回交易确认后的剩余份额低于理财账户最低保留限额时，华夏理财将在赎回确认日末对投资者的剩余份额发起强制赎回。</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szCs w:val="21"/>
              </w:rPr>
              <w:t>代销机构如另有规定，从其规定。</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赎回金额的计算</w:t>
            </w:r>
          </w:p>
        </w:tc>
        <w:tc>
          <w:tcPr>
            <w:tcW w:w="7404" w:type="dxa"/>
            <w:tcBorders>
              <w:top w:val="single" w:color="auto" w:sz="4" w:space="0"/>
              <w:left w:val="single" w:color="auto" w:sz="4" w:space="0"/>
              <w:bottom w:val="single" w:color="auto" w:sz="4" w:space="0"/>
              <w:right w:val="single" w:color="auto" w:sz="4" w:space="0"/>
            </w:tcBorders>
            <w:vAlign w:val="center"/>
          </w:tcPr>
          <w:p>
            <w:pPr>
              <w:spacing w:line="240" w:lineRule="atLeast"/>
              <w:ind w:firstLine="420" w:firstLineChars="200"/>
              <w:rPr>
                <w:rFonts w:ascii="仿宋" w:hAnsi="仿宋" w:eastAsia="仿宋"/>
                <w:bCs/>
                <w:szCs w:val="21"/>
                <w:u w:val="single"/>
              </w:rPr>
            </w:pPr>
            <w:r>
              <w:rPr>
                <w:rFonts w:ascii="仿宋" w:hAnsi="仿宋" w:eastAsia="仿宋"/>
                <w:bCs/>
                <w:szCs w:val="21"/>
              </w:rPr>
              <w:t>赎回金额＝赎回份额×赎回</w:t>
            </w:r>
            <w:r>
              <w:rPr>
                <w:rFonts w:hint="eastAsia" w:ascii="仿宋" w:hAnsi="仿宋" w:eastAsia="仿宋"/>
                <w:bCs/>
                <w:szCs w:val="21"/>
              </w:rPr>
              <w:t>申请日日终的产品份额净值，保留到小数点后</w:t>
            </w:r>
            <w:r>
              <w:rPr>
                <w:rFonts w:ascii="仿宋" w:hAnsi="仿宋" w:eastAsia="仿宋"/>
                <w:bCs/>
                <w:szCs w:val="21"/>
                <w:u w:val="single"/>
              </w:rPr>
              <w:t>2</w:t>
            </w:r>
            <w:r>
              <w:rPr>
                <w:rFonts w:hint="eastAsia" w:ascii="仿宋" w:hAnsi="仿宋" w:eastAsia="仿宋"/>
                <w:bCs/>
                <w:szCs w:val="21"/>
              </w:rPr>
              <w:t>位，小数点后第</w:t>
            </w:r>
            <w:r>
              <w:rPr>
                <w:rFonts w:ascii="仿宋" w:hAnsi="仿宋" w:eastAsia="仿宋"/>
                <w:bCs/>
                <w:szCs w:val="21"/>
                <w:u w:val="single"/>
              </w:rPr>
              <w:t>3</w:t>
            </w:r>
            <w:r>
              <w:rPr>
                <w:rFonts w:hint="eastAsia" w:ascii="仿宋" w:hAnsi="仿宋" w:eastAsia="仿宋"/>
                <w:bCs/>
                <w:szCs w:val="21"/>
              </w:rPr>
              <w:t>位四舍五入。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到期/终止的理财本金</w:t>
            </w:r>
            <w:r>
              <w:rPr>
                <w:rFonts w:ascii="仿宋" w:hAnsi="仿宋" w:eastAsia="仿宋"/>
                <w:bCs/>
                <w:szCs w:val="21"/>
              </w:rPr>
              <w:t>及</w:t>
            </w:r>
            <w:r>
              <w:rPr>
                <w:rFonts w:hint="eastAsia" w:ascii="仿宋" w:hAnsi="仿宋" w:eastAsia="仿宋"/>
                <w:bCs/>
                <w:szCs w:val="21"/>
              </w:rPr>
              <w:t>收益</w:t>
            </w:r>
          </w:p>
          <w:p>
            <w:pPr>
              <w:adjustRightInd w:val="0"/>
              <w:snapToGrid w:val="0"/>
              <w:spacing w:line="240" w:lineRule="atLeast"/>
              <w:jc w:val="center"/>
              <w:rPr>
                <w:rFonts w:ascii="仿宋" w:hAnsi="仿宋" w:eastAsia="仿宋"/>
                <w:bCs/>
                <w:szCs w:val="21"/>
              </w:rPr>
            </w:pPr>
            <w:r>
              <w:rPr>
                <w:rFonts w:ascii="仿宋" w:hAnsi="仿宋" w:eastAsia="仿宋"/>
                <w:bCs/>
                <w:szCs w:val="21"/>
              </w:rPr>
              <w:t>兑付</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华夏理财将于理财产品到期/终止</w:t>
            </w:r>
            <w:r>
              <w:rPr>
                <w:rFonts w:ascii="仿宋" w:hAnsi="仿宋" w:eastAsia="仿宋"/>
                <w:bCs/>
                <w:szCs w:val="21"/>
              </w:rPr>
              <w:t>日</w:t>
            </w:r>
            <w:r>
              <w:rPr>
                <w:rFonts w:hint="eastAsia" w:ascii="仿宋" w:hAnsi="仿宋" w:eastAsia="仿宋"/>
                <w:bCs/>
                <w:szCs w:val="21"/>
              </w:rPr>
              <w:t>后2个工作</w:t>
            </w:r>
            <w:r>
              <w:rPr>
                <w:rFonts w:ascii="仿宋" w:hAnsi="仿宋" w:eastAsia="仿宋"/>
                <w:bCs/>
                <w:szCs w:val="21"/>
              </w:rPr>
              <w:t>日</w:t>
            </w:r>
            <w:r>
              <w:rPr>
                <w:rFonts w:hint="eastAsia" w:ascii="仿宋" w:hAnsi="仿宋" w:eastAsia="仿宋"/>
                <w:bCs/>
                <w:szCs w:val="21"/>
              </w:rPr>
              <w:t>（内）</w:t>
            </w:r>
            <w:r>
              <w:rPr>
                <w:rFonts w:ascii="仿宋" w:hAnsi="仿宋" w:eastAsia="仿宋"/>
                <w:bCs/>
                <w:szCs w:val="21"/>
              </w:rPr>
              <w:t>，</w:t>
            </w:r>
            <w:r>
              <w:rPr>
                <w:rFonts w:hint="eastAsia" w:ascii="仿宋" w:hAnsi="仿宋" w:eastAsia="仿宋"/>
                <w:bCs/>
                <w:szCs w:val="21"/>
              </w:rPr>
              <w:t>根据实际投资结果向华夏理财客户及代销机构一次性划付理财本金及收益（如有），代销机构客户的理财本金及收益（如有）的具体到账账户、到账日及到账时间以代销机构划付规定为准。</w:t>
            </w:r>
          </w:p>
          <w:p>
            <w:pPr>
              <w:spacing w:line="240" w:lineRule="atLeast"/>
              <w:ind w:firstLine="420" w:firstLineChars="200"/>
              <w:rPr>
                <w:rFonts w:ascii="仿宋" w:hAnsi="仿宋" w:eastAsia="仿宋"/>
                <w:bCs/>
                <w:szCs w:val="21"/>
              </w:rPr>
            </w:pPr>
            <w:r>
              <w:rPr>
                <w:rFonts w:hint="eastAsia" w:ascii="仿宋" w:hAnsi="仿宋" w:eastAsia="仿宋"/>
                <w:bCs/>
                <w:szCs w:val="21"/>
              </w:rPr>
              <w:t>客户到期/终止本金及收益金额=∑（每笔份额*到期/终止日的产品份额净值），每笔金额计算保留到小数点后</w:t>
            </w:r>
            <w:r>
              <w:rPr>
                <w:rFonts w:ascii="仿宋" w:hAnsi="仿宋" w:eastAsia="仿宋"/>
                <w:bCs/>
                <w:szCs w:val="21"/>
              </w:rPr>
              <w:t>2</w:t>
            </w:r>
            <w:r>
              <w:rPr>
                <w:rFonts w:hint="eastAsia" w:ascii="仿宋" w:hAnsi="仿宋" w:eastAsia="仿宋"/>
                <w:bCs/>
                <w:szCs w:val="21"/>
              </w:rPr>
              <w:t>位，小数点后第</w:t>
            </w:r>
            <w:r>
              <w:rPr>
                <w:rFonts w:ascii="仿宋" w:hAnsi="仿宋" w:eastAsia="仿宋"/>
                <w:bCs/>
                <w:szCs w:val="21"/>
              </w:rPr>
              <w:t>3</w:t>
            </w:r>
            <w:r>
              <w:rPr>
                <w:rFonts w:hint="eastAsia" w:ascii="仿宋" w:hAnsi="仿宋" w:eastAsia="仿宋"/>
                <w:bCs/>
                <w:szCs w:val="21"/>
              </w:rPr>
              <w:t>位四舍五入。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巨额赎回</w:t>
            </w:r>
          </w:p>
        </w:tc>
        <w:tc>
          <w:tcPr>
            <w:tcW w:w="7404" w:type="dxa"/>
            <w:tcBorders>
              <w:top w:val="single" w:color="auto" w:sz="4" w:space="0"/>
              <w:left w:val="single" w:color="auto" w:sz="4" w:space="0"/>
              <w:bottom w:val="single" w:color="auto" w:sz="4" w:space="0"/>
              <w:right w:val="single" w:color="auto" w:sz="4" w:space="0"/>
            </w:tcBorders>
            <w:vAlign w:val="center"/>
          </w:tcPr>
          <w:p>
            <w:pPr>
              <w:tabs>
                <w:tab w:val="left" w:pos="720"/>
              </w:tabs>
              <w:autoSpaceDE w:val="0"/>
              <w:autoSpaceDN w:val="0"/>
              <w:adjustRightInd w:val="0"/>
              <w:snapToGrid w:val="0"/>
              <w:spacing w:line="240" w:lineRule="atLeast"/>
              <w:ind w:right="18" w:firstLine="420" w:firstLineChars="200"/>
              <w:rPr>
                <w:rFonts w:ascii="仿宋" w:hAnsi="仿宋" w:eastAsia="仿宋"/>
                <w:bCs/>
                <w:szCs w:val="21"/>
              </w:rPr>
            </w:pPr>
            <w:r>
              <w:rPr>
                <w:rFonts w:ascii="仿宋" w:hAnsi="仿宋" w:eastAsia="仿宋"/>
                <w:bCs/>
                <w:szCs w:val="21"/>
              </w:rPr>
              <w:t>单个开放日中，本</w:t>
            </w:r>
            <w:r>
              <w:rPr>
                <w:rFonts w:hint="eastAsia" w:ascii="仿宋" w:hAnsi="仿宋" w:eastAsia="仿宋"/>
                <w:bCs/>
                <w:szCs w:val="21"/>
              </w:rPr>
              <w:t>理财</w:t>
            </w:r>
            <w:r>
              <w:rPr>
                <w:rFonts w:ascii="仿宋" w:hAnsi="仿宋" w:eastAsia="仿宋"/>
                <w:bCs/>
                <w:szCs w:val="21"/>
              </w:rPr>
              <w:t>产品的净赎回申请</w:t>
            </w:r>
            <w:r>
              <w:rPr>
                <w:rFonts w:hint="eastAsia" w:ascii="仿宋" w:hAnsi="仿宋" w:eastAsia="仿宋"/>
                <w:bCs/>
                <w:szCs w:val="21"/>
              </w:rPr>
              <w:t>份额</w:t>
            </w:r>
            <w:r>
              <w:rPr>
                <w:rFonts w:ascii="仿宋" w:hAnsi="仿宋" w:eastAsia="仿宋"/>
                <w:bCs/>
                <w:szCs w:val="21"/>
              </w:rPr>
              <w:t>（赎回申请总份额扣除申购</w:t>
            </w:r>
            <w:r>
              <w:rPr>
                <w:rFonts w:hint="eastAsia" w:ascii="仿宋" w:hAnsi="仿宋" w:eastAsia="仿宋"/>
                <w:bCs/>
                <w:szCs w:val="21"/>
              </w:rPr>
              <w:t>申请</w:t>
            </w:r>
            <w:r>
              <w:rPr>
                <w:rFonts w:ascii="仿宋" w:hAnsi="仿宋" w:eastAsia="仿宋"/>
                <w:bCs/>
                <w:szCs w:val="21"/>
              </w:rPr>
              <w:t>总份额后的余额）超过上一日产品总份额的</w:t>
            </w:r>
            <w:r>
              <w:rPr>
                <w:rFonts w:ascii="仿宋" w:hAnsi="仿宋" w:eastAsia="仿宋"/>
                <w:bCs/>
                <w:szCs w:val="21"/>
                <w:u w:val="single"/>
              </w:rPr>
              <w:t>10</w:t>
            </w:r>
            <w:r>
              <w:rPr>
                <w:rFonts w:ascii="仿宋" w:hAnsi="仿宋" w:eastAsia="仿宋"/>
                <w:bCs/>
                <w:szCs w:val="21"/>
              </w:rPr>
              <w:t>%为巨额赎回</w:t>
            </w:r>
            <w:r>
              <w:rPr>
                <w:rFonts w:hint="eastAsia" w:ascii="仿宋" w:hAnsi="仿宋" w:eastAsia="仿宋"/>
                <w:bCs/>
                <w:szCs w:val="21"/>
              </w:rPr>
              <w:t>。</w:t>
            </w:r>
          </w:p>
          <w:p>
            <w:pPr>
              <w:tabs>
                <w:tab w:val="left" w:pos="720"/>
              </w:tabs>
              <w:autoSpaceDE w:val="0"/>
              <w:autoSpaceDN w:val="0"/>
              <w:adjustRightInd w:val="0"/>
              <w:snapToGrid w:val="0"/>
              <w:spacing w:line="240" w:lineRule="atLeast"/>
              <w:ind w:right="18" w:firstLine="422" w:firstLineChars="200"/>
              <w:rPr>
                <w:rFonts w:ascii="仿宋" w:hAnsi="仿宋" w:eastAsia="仿宋"/>
                <w:bCs/>
                <w:szCs w:val="21"/>
              </w:rPr>
            </w:pPr>
            <w:r>
              <w:rPr>
                <w:rFonts w:hint="eastAsia" w:ascii="仿宋" w:hAnsi="仿宋" w:eastAsia="仿宋"/>
                <w:b/>
                <w:szCs w:val="21"/>
              </w:rPr>
              <w:t>如发生巨额赎回，</w:t>
            </w:r>
            <w:r>
              <w:rPr>
                <w:rFonts w:ascii="仿宋" w:hAnsi="仿宋" w:eastAsia="仿宋"/>
                <w:b/>
                <w:szCs w:val="21"/>
              </w:rPr>
              <w:t>管理人</w:t>
            </w:r>
            <w:r>
              <w:rPr>
                <w:rFonts w:hint="eastAsia" w:ascii="仿宋" w:hAnsi="仿宋" w:eastAsia="仿宋"/>
                <w:b/>
                <w:szCs w:val="21"/>
              </w:rPr>
              <w:t>当日办理的赎回份额不低于前一日终理财产品总份额的10%。</w:t>
            </w:r>
          </w:p>
          <w:p>
            <w:pPr>
              <w:tabs>
                <w:tab w:val="left" w:pos="720"/>
              </w:tabs>
              <w:autoSpaceDE w:val="0"/>
              <w:autoSpaceDN w:val="0"/>
              <w:adjustRightInd w:val="0"/>
              <w:snapToGrid w:val="0"/>
              <w:spacing w:line="240" w:lineRule="atLeast"/>
              <w:ind w:right="18" w:firstLine="422" w:firstLineChars="200"/>
              <w:rPr>
                <w:rFonts w:ascii="仿宋" w:hAnsi="仿宋" w:eastAsia="仿宋"/>
                <w:bCs/>
                <w:szCs w:val="21"/>
              </w:rPr>
            </w:pPr>
            <w:r>
              <w:rPr>
                <w:rFonts w:ascii="仿宋" w:hAnsi="仿宋" w:eastAsia="仿宋"/>
                <w:b/>
                <w:szCs w:val="21"/>
              </w:rPr>
              <w:t>管理人</w:t>
            </w:r>
            <w:r>
              <w:rPr>
                <w:rFonts w:hint="eastAsia" w:ascii="仿宋" w:hAnsi="仿宋" w:eastAsia="仿宋"/>
                <w:b/>
                <w:bCs/>
                <w:szCs w:val="21"/>
              </w:rPr>
              <w:t>有权</w:t>
            </w:r>
            <w:r>
              <w:rPr>
                <w:rFonts w:hint="eastAsia" w:ascii="仿宋" w:hAnsi="仿宋" w:eastAsia="仿宋"/>
                <w:b/>
                <w:szCs w:val="21"/>
              </w:rPr>
              <w:t>对其余的赎回申请</w:t>
            </w:r>
            <w:r>
              <w:rPr>
                <w:rFonts w:hint="eastAsia" w:ascii="仿宋" w:hAnsi="仿宋" w:eastAsia="仿宋"/>
                <w:b/>
                <w:bCs/>
                <w:szCs w:val="21"/>
              </w:rPr>
              <w:t>采取</w:t>
            </w:r>
            <w:r>
              <w:rPr>
                <w:rFonts w:hint="eastAsia" w:ascii="仿宋" w:hAnsi="仿宋" w:eastAsia="仿宋"/>
                <w:b/>
                <w:szCs w:val="21"/>
              </w:rPr>
              <w:t>暂停接受的</w:t>
            </w:r>
            <w:r>
              <w:rPr>
                <w:rFonts w:ascii="仿宋" w:hAnsi="仿宋" w:eastAsia="仿宋"/>
                <w:b/>
                <w:szCs w:val="21"/>
              </w:rPr>
              <w:t>应对措施。</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撤销规定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1.募集期认购撤销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投资者可撤销已提交的认购申请（仅可全额撤销），具体规定如下：</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（1</w:t>
            </w:r>
            <w:r>
              <w:rPr>
                <w:rFonts w:hint="eastAsia" w:ascii="仿宋" w:hAnsi="仿宋" w:eastAsia="仿宋"/>
                <w:bCs/>
                <w:szCs w:val="21"/>
              </w:rPr>
              <w:t>）通过华夏理财自有</w:t>
            </w:r>
            <w:r>
              <w:rPr>
                <w:rFonts w:ascii="仿宋" w:hAnsi="仿宋" w:eastAsia="仿宋"/>
                <w:bCs/>
                <w:szCs w:val="21"/>
              </w:rPr>
              <w:t>销售渠道</w:t>
            </w:r>
            <w:r>
              <w:rPr>
                <w:rFonts w:hint="eastAsia" w:ascii="仿宋" w:hAnsi="仿宋" w:eastAsia="仿宋"/>
                <w:bCs/>
                <w:szCs w:val="21"/>
              </w:rPr>
              <w:t>认购的，投资者撤销的本金在</w:t>
            </w:r>
            <w:r>
              <w:rPr>
                <w:rFonts w:ascii="仿宋" w:hAnsi="仿宋" w:eastAsia="仿宋"/>
                <w:bCs/>
                <w:szCs w:val="21"/>
                <w:u w:val="single"/>
              </w:rPr>
              <w:t>2</w:t>
            </w:r>
            <w:r>
              <w:rPr>
                <w:rFonts w:ascii="仿宋" w:hAnsi="仿宋" w:eastAsia="仿宋"/>
                <w:bCs/>
                <w:szCs w:val="21"/>
              </w:rPr>
              <w:t>个工作日内</w:t>
            </w:r>
            <w:r>
              <w:rPr>
                <w:rFonts w:hint="eastAsia" w:ascii="仿宋" w:hAnsi="仿宋" w:eastAsia="仿宋"/>
                <w:bCs/>
                <w:szCs w:val="21"/>
              </w:rPr>
              <w:t>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（2</w:t>
            </w:r>
            <w:r>
              <w:rPr>
                <w:rFonts w:hint="eastAsia" w:ascii="仿宋" w:hAnsi="仿宋" w:eastAsia="仿宋"/>
                <w:bCs/>
                <w:szCs w:val="21"/>
              </w:rPr>
              <w:t>）通过华夏银行认购的，投资者撤销的本金实时到账。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（3</w:t>
            </w:r>
            <w:r>
              <w:rPr>
                <w:rFonts w:hint="eastAsia" w:ascii="仿宋" w:hAnsi="仿宋" w:eastAsia="仿宋"/>
                <w:bCs/>
                <w:szCs w:val="21"/>
              </w:rPr>
              <w:t>）通过华夏理财认购的</w:t>
            </w:r>
            <w:r>
              <w:rPr>
                <w:rFonts w:ascii="仿宋" w:hAnsi="仿宋" w:eastAsia="仿宋"/>
                <w:bCs/>
                <w:szCs w:val="21"/>
              </w:rPr>
              <w:t>，</w:t>
            </w:r>
            <w:r>
              <w:rPr>
                <w:rFonts w:hint="eastAsia" w:ascii="仿宋" w:hAnsi="仿宋" w:eastAsia="仿宋"/>
              </w:rPr>
              <w:t>募集期最后一日17:30（含）之后</w:t>
            </w:r>
            <w:r>
              <w:rPr>
                <w:rFonts w:hint="eastAsia" w:ascii="仿宋" w:hAnsi="仿宋" w:eastAsia="仿宋"/>
                <w:bCs/>
                <w:szCs w:val="21"/>
              </w:rPr>
              <w:t>不能进行撤销。</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（4</w:t>
            </w:r>
            <w:r>
              <w:rPr>
                <w:rFonts w:hint="eastAsia" w:ascii="仿宋" w:hAnsi="仿宋" w:eastAsia="仿宋"/>
                <w:bCs/>
                <w:szCs w:val="21"/>
              </w:rPr>
              <w:t>）通过华夏银行认购的</w:t>
            </w:r>
            <w:r>
              <w:rPr>
                <w:rFonts w:ascii="仿宋" w:hAnsi="仿宋" w:eastAsia="仿宋"/>
                <w:bCs/>
                <w:szCs w:val="21"/>
              </w:rPr>
              <w:t>，</w:t>
            </w:r>
            <w:r>
              <w:rPr>
                <w:rFonts w:hint="eastAsia" w:ascii="仿宋" w:hAnsi="仿宋" w:eastAsia="仿宋"/>
              </w:rPr>
              <w:t>募集期最后一日17:30（含）之后</w:t>
            </w:r>
            <w:r>
              <w:rPr>
                <w:rFonts w:hint="eastAsia" w:ascii="仿宋" w:hAnsi="仿宋" w:eastAsia="仿宋"/>
                <w:bCs/>
                <w:szCs w:val="21"/>
              </w:rPr>
              <w:t>不能进行撤销。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通过其他代销机构认购的，撤销规定以代销机构规定为准。</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2.开放日申购、赎回撤销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投资者可于开放日开放时间内撤销当日已提交的申购、赎回申请（仅可全额撤销），</w:t>
            </w:r>
          </w:p>
          <w:p>
            <w:pPr>
              <w:adjustRightInd w:val="0"/>
              <w:snapToGrid w:val="0"/>
              <w:spacing w:line="240" w:lineRule="atLeast"/>
              <w:rPr>
                <w:rFonts w:ascii="仿宋" w:hAnsi="仿宋" w:eastAsia="仿宋"/>
                <w:bCs/>
                <w:szCs w:val="21"/>
              </w:rPr>
            </w:pPr>
            <w:r>
              <w:rPr>
                <w:rFonts w:hint="eastAsia" w:ascii="仿宋" w:hAnsi="仿宋" w:eastAsia="仿宋"/>
                <w:bCs/>
                <w:szCs w:val="21"/>
              </w:rPr>
              <w:t>具体规定如下：</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（1</w:t>
            </w:r>
            <w:r>
              <w:rPr>
                <w:rFonts w:hint="eastAsia" w:ascii="仿宋" w:hAnsi="仿宋" w:eastAsia="仿宋"/>
                <w:bCs/>
                <w:szCs w:val="21"/>
              </w:rPr>
              <w:t>）通过华夏理财自有</w:t>
            </w:r>
            <w:r>
              <w:rPr>
                <w:rFonts w:ascii="仿宋" w:hAnsi="仿宋" w:eastAsia="仿宋"/>
                <w:bCs/>
                <w:szCs w:val="21"/>
              </w:rPr>
              <w:t>销售渠道</w:t>
            </w:r>
            <w:r>
              <w:rPr>
                <w:rFonts w:hint="eastAsia" w:ascii="仿宋" w:hAnsi="仿宋" w:eastAsia="仿宋"/>
                <w:bCs/>
                <w:szCs w:val="21"/>
              </w:rPr>
              <w:t>申购的，投资者撤销的本金在</w:t>
            </w:r>
            <w:r>
              <w:rPr>
                <w:rFonts w:ascii="仿宋" w:hAnsi="仿宋" w:eastAsia="仿宋"/>
                <w:bCs/>
                <w:szCs w:val="21"/>
                <w:u w:val="single"/>
              </w:rPr>
              <w:t>2</w:t>
            </w:r>
            <w:r>
              <w:rPr>
                <w:rFonts w:ascii="仿宋" w:hAnsi="仿宋" w:eastAsia="仿宋"/>
                <w:bCs/>
                <w:szCs w:val="21"/>
              </w:rPr>
              <w:t>个工作日内</w:t>
            </w:r>
            <w:r>
              <w:rPr>
                <w:rFonts w:hint="eastAsia" w:ascii="仿宋" w:hAnsi="仿宋" w:eastAsia="仿宋"/>
                <w:bCs/>
                <w:szCs w:val="21"/>
              </w:rPr>
              <w:t>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（2</w:t>
            </w:r>
            <w:r>
              <w:rPr>
                <w:rFonts w:hint="eastAsia" w:ascii="仿宋" w:hAnsi="仿宋" w:eastAsia="仿宋"/>
                <w:bCs/>
                <w:szCs w:val="21"/>
              </w:rPr>
              <w:t>）通过华夏银行申购的，投资者撤销的本金实时到账。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（3</w:t>
            </w:r>
            <w:r>
              <w:rPr>
                <w:rFonts w:hint="eastAsia" w:ascii="仿宋" w:hAnsi="仿宋" w:eastAsia="仿宋"/>
                <w:bCs/>
                <w:szCs w:val="21"/>
              </w:rPr>
              <w:t>）通过华夏理财申购的</w:t>
            </w:r>
            <w:r>
              <w:rPr>
                <w:rFonts w:ascii="仿宋" w:hAnsi="仿宋" w:eastAsia="仿宋"/>
                <w:bCs/>
                <w:szCs w:val="21"/>
              </w:rPr>
              <w:t>，</w:t>
            </w:r>
            <w:r>
              <w:rPr>
                <w:rFonts w:hint="eastAsia" w:ascii="仿宋" w:hAnsi="仿宋" w:eastAsia="仿宋"/>
              </w:rPr>
              <w:t>开放日17:00（含）之后</w:t>
            </w:r>
            <w:r>
              <w:rPr>
                <w:rFonts w:hint="eastAsia" w:ascii="仿宋" w:hAnsi="仿宋" w:eastAsia="仿宋"/>
                <w:bCs/>
                <w:szCs w:val="21"/>
              </w:rPr>
              <w:t>不能进行撤销。</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（4</w:t>
            </w:r>
            <w:r>
              <w:rPr>
                <w:rFonts w:hint="eastAsia" w:ascii="仿宋" w:hAnsi="仿宋" w:eastAsia="仿宋"/>
                <w:bCs/>
                <w:szCs w:val="21"/>
              </w:rPr>
              <w:t>）通过华夏银行申购的</w:t>
            </w:r>
            <w:r>
              <w:rPr>
                <w:rFonts w:ascii="仿宋" w:hAnsi="仿宋" w:eastAsia="仿宋"/>
                <w:bCs/>
                <w:szCs w:val="21"/>
              </w:rPr>
              <w:t>，</w:t>
            </w:r>
            <w:r>
              <w:rPr>
                <w:rFonts w:hint="eastAsia" w:ascii="仿宋" w:hAnsi="仿宋" w:eastAsia="仿宋"/>
              </w:rPr>
              <w:t>开放日17:00（含）之后</w:t>
            </w:r>
            <w:r>
              <w:rPr>
                <w:rFonts w:hint="eastAsia" w:ascii="仿宋" w:hAnsi="仿宋" w:eastAsia="仿宋"/>
                <w:bCs/>
                <w:szCs w:val="21"/>
              </w:rPr>
              <w:t>不能进行撤销。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通过其他代销机构申购的，撤销规定以代销机构规定为准。</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3.预约</w:t>
            </w:r>
            <w:r>
              <w:rPr>
                <w:rFonts w:ascii="仿宋" w:hAnsi="仿宋" w:eastAsia="仿宋"/>
                <w:bCs/>
                <w:szCs w:val="21"/>
              </w:rPr>
              <w:t>申购、</w:t>
            </w:r>
            <w:r>
              <w:rPr>
                <w:rFonts w:hint="eastAsia" w:ascii="仿宋" w:hAnsi="仿宋" w:eastAsia="仿宋"/>
                <w:bCs/>
                <w:szCs w:val="21"/>
              </w:rPr>
              <w:t>预约</w:t>
            </w:r>
            <w:r>
              <w:rPr>
                <w:rFonts w:ascii="仿宋" w:hAnsi="仿宋" w:eastAsia="仿宋"/>
                <w:bCs/>
                <w:szCs w:val="21"/>
              </w:rPr>
              <w:t>赎回撤销</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通过华夏银行/华夏理财购买的，封闭期内的最后</w:t>
            </w:r>
            <w:r>
              <w:rPr>
                <w:rFonts w:ascii="仿宋" w:hAnsi="仿宋" w:eastAsia="仿宋"/>
                <w:bCs/>
                <w:szCs w:val="21"/>
              </w:rPr>
              <w:t>一</w:t>
            </w:r>
            <w:r>
              <w:rPr>
                <w:rFonts w:hint="eastAsia" w:ascii="仿宋" w:hAnsi="仿宋" w:eastAsia="仿宋"/>
                <w:bCs/>
                <w:szCs w:val="21"/>
              </w:rPr>
              <w:t>个</w:t>
            </w:r>
            <w:r>
              <w:rPr>
                <w:rFonts w:ascii="仿宋" w:hAnsi="仿宋" w:eastAsia="仿宋"/>
                <w:bCs/>
                <w:szCs w:val="21"/>
              </w:rPr>
              <w:t>工作日</w:t>
            </w:r>
            <w:r>
              <w:rPr>
                <w:rFonts w:hint="eastAsia" w:ascii="仿宋" w:hAnsi="仿宋" w:eastAsia="仿宋"/>
              </w:rPr>
              <w:t>17:30（不含）</w:t>
            </w:r>
            <w:r>
              <w:rPr>
                <w:rFonts w:hint="eastAsia" w:ascii="仿宋" w:hAnsi="仿宋" w:eastAsia="仿宋"/>
                <w:bCs/>
                <w:szCs w:val="21"/>
              </w:rPr>
              <w:t>前</w:t>
            </w:r>
            <w:r>
              <w:rPr>
                <w:rFonts w:ascii="仿宋" w:hAnsi="仿宋" w:eastAsia="仿宋"/>
                <w:bCs/>
                <w:szCs w:val="21"/>
              </w:rPr>
              <w:t>，</w:t>
            </w:r>
            <w:r>
              <w:rPr>
                <w:rFonts w:hint="eastAsia" w:ascii="仿宋" w:hAnsi="仿宋" w:eastAsia="仿宋"/>
                <w:bCs/>
                <w:szCs w:val="21"/>
              </w:rPr>
              <w:t>投资</w:t>
            </w:r>
            <w:r>
              <w:rPr>
                <w:rFonts w:ascii="仿宋" w:hAnsi="仿宋" w:eastAsia="仿宋"/>
                <w:bCs/>
                <w:szCs w:val="21"/>
              </w:rPr>
              <w:t>者</w:t>
            </w:r>
            <w:r>
              <w:rPr>
                <w:rFonts w:hint="eastAsia" w:ascii="仿宋" w:hAnsi="仿宋" w:eastAsia="仿宋"/>
                <w:bCs/>
                <w:szCs w:val="21"/>
              </w:rPr>
              <w:t>可</w:t>
            </w:r>
            <w:r>
              <w:rPr>
                <w:rFonts w:ascii="仿宋" w:hAnsi="仿宋" w:eastAsia="仿宋"/>
                <w:bCs/>
                <w:szCs w:val="21"/>
              </w:rPr>
              <w:t>全额撤销已提交的</w:t>
            </w:r>
            <w:r>
              <w:rPr>
                <w:rFonts w:hint="eastAsia" w:ascii="仿宋" w:hAnsi="仿宋" w:eastAsia="仿宋"/>
                <w:bCs/>
                <w:szCs w:val="21"/>
              </w:rPr>
              <w:t>预约</w:t>
            </w:r>
            <w:r>
              <w:rPr>
                <w:rFonts w:ascii="仿宋" w:hAnsi="仿宋" w:eastAsia="仿宋"/>
                <w:bCs/>
                <w:szCs w:val="21"/>
              </w:rPr>
              <w:t>购买</w:t>
            </w:r>
            <w:r>
              <w:rPr>
                <w:rFonts w:hint="eastAsia" w:ascii="仿宋" w:hAnsi="仿宋" w:eastAsia="仿宋"/>
                <w:bCs/>
                <w:szCs w:val="21"/>
              </w:rPr>
              <w:t>、预约赎回申请；通过其他代销机构购买的，预约申购、预约赎回撤销以代销机构的规定为准。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投资冷静期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pPr>
            <w:r>
              <w:rPr>
                <w:rFonts w:hint="eastAsia" w:ascii="仿宋" w:hAnsi="仿宋" w:eastAsia="仿宋"/>
                <w:bCs/>
                <w:szCs w:val="21"/>
              </w:rPr>
              <w:t>本理财产品为</w:t>
            </w:r>
            <w:r>
              <w:rPr>
                <w:rFonts w:ascii="仿宋" w:hAnsi="仿宋" w:eastAsia="仿宋"/>
                <w:bCs/>
                <w:szCs w:val="21"/>
              </w:rPr>
              <w:t>公募</w:t>
            </w:r>
            <w:r>
              <w:rPr>
                <w:rFonts w:hint="eastAsia" w:ascii="仿宋" w:hAnsi="仿宋" w:eastAsia="仿宋"/>
                <w:bCs/>
                <w:szCs w:val="21"/>
              </w:rPr>
              <w:t>理财</w:t>
            </w:r>
            <w:r>
              <w:rPr>
                <w:rFonts w:ascii="仿宋" w:hAnsi="仿宋" w:eastAsia="仿宋"/>
                <w:bCs/>
                <w:szCs w:val="21"/>
              </w:rPr>
              <w:t>产品</w:t>
            </w:r>
            <w:r>
              <w:rPr>
                <w:rFonts w:hint="eastAsia" w:ascii="仿宋" w:hAnsi="仿宋" w:eastAsia="仿宋"/>
                <w:bCs/>
                <w:szCs w:val="21"/>
              </w:rPr>
              <w:t>，根据监管</w:t>
            </w:r>
            <w:r>
              <w:rPr>
                <w:rFonts w:ascii="仿宋" w:hAnsi="仿宋" w:eastAsia="仿宋"/>
                <w:bCs/>
                <w:szCs w:val="21"/>
              </w:rPr>
              <w:t>部门规定，</w:t>
            </w:r>
            <w:r>
              <w:rPr>
                <w:rFonts w:hint="eastAsia" w:ascii="仿宋" w:hAnsi="仿宋" w:eastAsia="仿宋"/>
                <w:bCs/>
                <w:szCs w:val="21"/>
              </w:rPr>
              <w:t>无需</w:t>
            </w:r>
            <w:r>
              <w:rPr>
                <w:rFonts w:ascii="仿宋" w:hAnsi="仿宋" w:eastAsia="仿宋"/>
                <w:bCs/>
                <w:szCs w:val="21"/>
              </w:rPr>
              <w:t>设置投资冷静期。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认购费/申购费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本理财产品不收取认购费/申购费。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u w:val="single"/>
              </w:rPr>
            </w:pPr>
            <w:r>
              <w:rPr>
                <w:rFonts w:hint="eastAsia" w:ascii="仿宋" w:hAnsi="仿宋" w:eastAsia="仿宋"/>
                <w:bCs/>
                <w:szCs w:val="21"/>
              </w:rPr>
              <w:t>本理财产品不收取赎回费。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托管费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0.03%/年，以前一日资产净值为基数，每日计提。公式如下：</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F=E×【0.03%】</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F为托管费；E为计算</w:t>
            </w:r>
            <w:r>
              <w:rPr>
                <w:rFonts w:ascii="仿宋" w:hAnsi="仿宋" w:eastAsia="仿宋"/>
                <w:bCs/>
                <w:szCs w:val="21"/>
              </w:rPr>
              <w:t>基数</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销售手续费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cs="Cambria"/>
                <w:bCs/>
                <w:szCs w:val="21"/>
              </w:rPr>
              <w:t>销售手续费率</w:t>
            </w:r>
            <w:r>
              <w:rPr>
                <w:rFonts w:hint="eastAsia" w:ascii="仿宋" w:hAnsi="仿宋" w:eastAsia="仿宋"/>
                <w:bCs/>
                <w:szCs w:val="21"/>
              </w:rPr>
              <w:t>0.30%/年，以前一日资产净值为基数，每日计提。公式如下：</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F=E×【0.30%】</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F为销售</w:t>
            </w:r>
            <w:r>
              <w:rPr>
                <w:rFonts w:ascii="仿宋" w:hAnsi="仿宋" w:eastAsia="仿宋"/>
                <w:bCs/>
                <w:szCs w:val="21"/>
              </w:rPr>
              <w:t>手续费</w:t>
            </w:r>
            <w:r>
              <w:rPr>
                <w:rFonts w:hint="eastAsia" w:ascii="仿宋" w:hAnsi="仿宋" w:eastAsia="仿宋"/>
                <w:bCs/>
                <w:szCs w:val="21"/>
              </w:rPr>
              <w:t>；E为计算</w:t>
            </w:r>
            <w:r>
              <w:rPr>
                <w:rFonts w:ascii="仿宋" w:hAnsi="仿宋" w:eastAsia="仿宋"/>
                <w:bCs/>
                <w:szCs w:val="21"/>
              </w:rPr>
              <w:t>基数</w:t>
            </w:r>
            <w:r>
              <w:rPr>
                <w:rFonts w:hint="eastAsia" w:ascii="仿宋" w:hAnsi="仿宋" w:eastAsia="仿宋"/>
                <w:bCs/>
                <w:szCs w:val="21"/>
              </w:rPr>
              <w:t>。</w:t>
            </w:r>
            <w:r>
              <w:rPr>
                <w:rFonts w:hint="eastAsia" w:ascii="仿宋" w:hAnsi="仿宋" w:eastAsia="仿宋"/>
                <w:szCs w:val="21"/>
              </w:rPr>
              <w:t>（销售手续费由销售服务机构收取。）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固定管理费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固定管理费率0.20%/年，以前一日资产净值为基数，每日计提。公式如下：</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F=E×【0.20%】</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F为固定管理费；E为计算</w:t>
            </w:r>
            <w:r>
              <w:rPr>
                <w:rFonts w:ascii="仿宋" w:hAnsi="仿宋" w:eastAsia="仿宋"/>
                <w:bCs/>
                <w:szCs w:val="21"/>
              </w:rPr>
              <w:t>基数</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其他</w:t>
            </w:r>
            <w:r>
              <w:rPr>
                <w:rFonts w:ascii="仿宋" w:hAnsi="仿宋" w:eastAsia="仿宋"/>
                <w:bCs/>
                <w:szCs w:val="21"/>
              </w:rPr>
              <w:t>费用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理财资金运作期间以及追索理财资金可能产生的诉讼费、保全费、信托费、税费、审计费、律师费、公证费、清算费、执行费等，按其实际发生数额从理财资产中支取。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超额</w:t>
            </w:r>
            <w:r>
              <w:rPr>
                <w:rFonts w:ascii="仿宋" w:hAnsi="仿宋" w:eastAsia="仿宋"/>
                <w:bCs/>
                <w:szCs w:val="21"/>
              </w:rPr>
              <w:t>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u w:val="single"/>
              </w:rPr>
            </w:pPr>
            <w:r>
              <w:rPr>
                <w:rFonts w:hint="eastAsia" w:ascii="仿宋" w:hAnsi="仿宋" w:eastAsia="仿宋"/>
                <w:bCs/>
                <w:szCs w:val="21"/>
              </w:rPr>
              <w:t>扣除各项费用（包括销售手续费、托管费、固定管理费及</w:t>
            </w:r>
            <w:r>
              <w:rPr>
                <w:rFonts w:ascii="仿宋" w:hAnsi="仿宋" w:eastAsia="仿宋"/>
                <w:bCs/>
                <w:szCs w:val="21"/>
              </w:rPr>
              <w:t>其他费用</w:t>
            </w:r>
            <w:r>
              <w:rPr>
                <w:rFonts w:hint="eastAsia" w:ascii="仿宋" w:hAnsi="仿宋" w:eastAsia="仿宋"/>
                <w:bCs/>
                <w:szCs w:val="21"/>
              </w:rPr>
              <w:t>等）后，本期产品实现的年化收益率低于或等于</w:t>
            </w:r>
            <w:r>
              <w:rPr>
                <w:rFonts w:ascii="仿宋" w:hAnsi="仿宋" w:eastAsia="仿宋"/>
                <w:bCs/>
                <w:szCs w:val="21"/>
              </w:rPr>
              <w:t>3.40%</w:t>
            </w:r>
            <w:r>
              <w:rPr>
                <w:rFonts w:hint="eastAsia" w:ascii="仿宋" w:hAnsi="仿宋" w:eastAsia="仿宋"/>
                <w:bCs/>
                <w:szCs w:val="21"/>
              </w:rPr>
              <w:t>，则管理人不收取超额管理费；超过</w:t>
            </w:r>
            <w:r>
              <w:rPr>
                <w:rFonts w:ascii="仿宋" w:hAnsi="仿宋" w:eastAsia="仿宋"/>
                <w:bCs/>
                <w:szCs w:val="21"/>
              </w:rPr>
              <w:t>3.40%</w:t>
            </w:r>
            <w:r>
              <w:rPr>
                <w:rFonts w:hint="eastAsia" w:ascii="仿宋" w:hAnsi="仿宋" w:eastAsia="仿宋"/>
                <w:bCs/>
                <w:szCs w:val="21"/>
              </w:rPr>
              <w:t>的部分，</w:t>
            </w:r>
            <w:r>
              <w:rPr>
                <w:rFonts w:ascii="仿宋" w:hAnsi="仿宋" w:eastAsia="仿宋"/>
                <w:bCs/>
                <w:szCs w:val="21"/>
              </w:rPr>
              <w:t>50%</w:t>
            </w:r>
            <w:r>
              <w:rPr>
                <w:rFonts w:hint="eastAsia" w:ascii="仿宋" w:hAnsi="仿宋" w:eastAsia="仿宋"/>
                <w:bCs/>
                <w:szCs w:val="21"/>
              </w:rPr>
              <w:t>归投资人所有，其余作为管理人的超额管理费。超额管理费将于每一开放期首个开放日收取。</w:t>
            </w:r>
          </w:p>
          <w:p>
            <w:pPr>
              <w:adjustRightInd w:val="0"/>
              <w:snapToGrid w:val="0"/>
              <w:spacing w:line="240" w:lineRule="atLeast"/>
              <w:ind w:firstLine="420"/>
              <w:rPr>
                <w:rFonts w:ascii="仿宋" w:hAnsi="仿宋" w:eastAsia="仿宋"/>
                <w:bCs/>
                <w:szCs w:val="21"/>
                <w:u w:val="single"/>
              </w:rPr>
            </w:pPr>
            <w:r>
              <w:rPr>
                <w:rFonts w:hint="eastAsia" w:ascii="仿宋" w:hAnsi="仿宋" w:eastAsia="仿宋"/>
                <w:b/>
                <w:color w:val="000000"/>
                <w:szCs w:val="21"/>
              </w:rPr>
              <w:t>华夏理财有权根据市场</w:t>
            </w:r>
            <w:r>
              <w:rPr>
                <w:rFonts w:hint="eastAsia" w:ascii="仿宋" w:hAnsi="仿宋" w:eastAsia="仿宋"/>
                <w:b/>
                <w:szCs w:val="21"/>
              </w:rPr>
              <w:t>及产品运作情况调整上述规则，并至少于生效前3个工作日</w:t>
            </w:r>
            <w:r>
              <w:rPr>
                <w:rFonts w:ascii="仿宋" w:hAnsi="仿宋" w:eastAsia="仿宋"/>
                <w:b/>
                <w:bCs/>
                <w:szCs w:val="21"/>
              </w:rPr>
              <w:t>通过</w:t>
            </w:r>
            <w:r>
              <w:rPr>
                <w:rFonts w:hint="eastAsia" w:ascii="仿宋" w:hAnsi="仿宋" w:eastAsia="仿宋"/>
                <w:b/>
                <w:bCs/>
                <w:szCs w:val="21"/>
              </w:rPr>
              <w:t>本产品说明书约定的信息披露渠道</w:t>
            </w:r>
            <w:r>
              <w:rPr>
                <w:rFonts w:hint="eastAsia" w:ascii="仿宋" w:hAnsi="仿宋" w:eastAsia="仿宋"/>
                <w:b/>
                <w:szCs w:val="21"/>
              </w:rPr>
              <w:t>进行公告</w:t>
            </w:r>
            <w:r>
              <w:rPr>
                <w:rFonts w:hint="eastAsia" w:ascii="仿宋" w:hAnsi="仿宋" w:eastAsia="仿宋"/>
                <w:b/>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份额净值公告日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rPr>
              <w:t>每周五后的</w:t>
            </w:r>
            <w:r>
              <w:rPr>
                <w:rFonts w:hint="eastAsia" w:ascii="仿宋" w:hAnsi="仿宋" w:eastAsia="仿宋"/>
                <w:bCs/>
                <w:szCs w:val="21"/>
              </w:rPr>
              <w:t>第3个工作日为份额净值公告日，公告</w:t>
            </w:r>
            <w:r>
              <w:rPr>
                <w:rFonts w:hint="eastAsia" w:ascii="仿宋" w:hAnsi="仿宋" w:eastAsia="仿宋"/>
              </w:rPr>
              <w:t>每周五</w:t>
            </w:r>
            <w:r>
              <w:rPr>
                <w:rFonts w:hint="eastAsia" w:ascii="仿宋" w:hAnsi="仿宋" w:eastAsia="仿宋"/>
                <w:bCs/>
                <w:szCs w:val="21"/>
              </w:rPr>
              <w:t>份额净值，如周五为非工作日，则公告周五上1个工作日的份额净值。如当周没有第3个工作日，</w:t>
            </w:r>
            <w:r>
              <w:rPr>
                <w:rFonts w:ascii="仿宋" w:hAnsi="仿宋" w:eastAsia="仿宋"/>
                <w:bCs/>
                <w:szCs w:val="21"/>
              </w:rPr>
              <w:t>则顺延至下</w:t>
            </w:r>
            <w:r>
              <w:rPr>
                <w:rFonts w:hint="eastAsia" w:ascii="仿宋" w:hAnsi="仿宋" w:eastAsia="仿宋"/>
                <w:bCs/>
                <w:szCs w:val="21"/>
              </w:rPr>
              <w:t>1</w:t>
            </w:r>
            <w:r>
              <w:rPr>
                <w:rFonts w:ascii="仿宋" w:hAnsi="仿宋" w:eastAsia="仿宋"/>
                <w:bCs/>
                <w:szCs w:val="21"/>
              </w:rPr>
              <w:t>个工作日</w:t>
            </w:r>
            <w:r>
              <w:rPr>
                <w:rFonts w:hint="eastAsia" w:ascii="仿宋" w:hAnsi="仿宋" w:eastAsia="仿宋"/>
                <w:bCs/>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产品开放日后第2个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公告产品开放日</w:t>
            </w:r>
            <w:r>
              <w:rPr>
                <w:rFonts w:ascii="仿宋" w:hAnsi="仿宋" w:eastAsia="仿宋"/>
                <w:bCs/>
                <w:szCs w:val="21"/>
              </w:rPr>
              <w:t>的</w:t>
            </w:r>
            <w:r>
              <w:rPr>
                <w:rFonts w:hint="eastAsia" w:ascii="仿宋" w:hAnsi="仿宋" w:eastAsia="仿宋"/>
                <w:bCs/>
                <w:szCs w:val="21"/>
              </w:rPr>
              <w:t>份额净值</w:t>
            </w:r>
            <w:r>
              <w:rPr>
                <w:rFonts w:ascii="仿宋" w:hAnsi="仿宋" w:eastAsia="仿宋"/>
                <w:bCs/>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产品到期/终止</w:t>
            </w:r>
            <w:r>
              <w:rPr>
                <w:rFonts w:ascii="仿宋" w:hAnsi="仿宋" w:eastAsia="仿宋"/>
                <w:bCs/>
                <w:szCs w:val="21"/>
              </w:rPr>
              <w:t>后的</w:t>
            </w:r>
            <w:r>
              <w:rPr>
                <w:rFonts w:hint="eastAsia" w:ascii="仿宋" w:hAnsi="仿宋" w:eastAsia="仿宋"/>
                <w:bCs/>
                <w:szCs w:val="21"/>
              </w:rPr>
              <w:t>第</w:t>
            </w:r>
            <w:r>
              <w:rPr>
                <w:rFonts w:ascii="仿宋" w:hAnsi="仿宋" w:eastAsia="仿宋"/>
                <w:bCs/>
                <w:szCs w:val="21"/>
              </w:rPr>
              <w:t>2</w:t>
            </w:r>
            <w:r>
              <w:rPr>
                <w:rFonts w:hint="eastAsia" w:ascii="仿宋" w:hAnsi="仿宋" w:eastAsia="仿宋"/>
                <w:bCs/>
                <w:szCs w:val="21"/>
              </w:rPr>
              <w:t>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公告产品到期/终止</w:t>
            </w:r>
            <w:r>
              <w:rPr>
                <w:rFonts w:ascii="仿宋" w:hAnsi="仿宋" w:eastAsia="仿宋"/>
                <w:bCs/>
                <w:szCs w:val="21"/>
              </w:rPr>
              <w:t>日的</w:t>
            </w:r>
            <w:r>
              <w:rPr>
                <w:rFonts w:hint="eastAsia" w:ascii="仿宋" w:hAnsi="仿宋" w:eastAsia="仿宋"/>
                <w:bCs/>
                <w:szCs w:val="21"/>
              </w:rPr>
              <w:t>份额净值</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摆动定价</w:t>
            </w:r>
          </w:p>
        </w:tc>
        <w:tc>
          <w:tcPr>
            <w:tcW w:w="7404" w:type="dxa"/>
            <w:tcBorders>
              <w:top w:val="single" w:color="auto" w:sz="4" w:space="0"/>
              <w:left w:val="single" w:color="auto" w:sz="4" w:space="0"/>
              <w:bottom w:val="single" w:color="auto" w:sz="4" w:space="0"/>
              <w:right w:val="single" w:color="auto" w:sz="4" w:space="0"/>
            </w:tcBorders>
          </w:tcPr>
          <w:p>
            <w:pPr>
              <w:adjustRightInd w:val="0"/>
              <w:snapToGrid w:val="0"/>
              <w:spacing w:line="276" w:lineRule="auto"/>
              <w:ind w:firstLine="420" w:firstLineChars="200"/>
              <w:jc w:val="left"/>
            </w:pPr>
            <w:r>
              <w:rPr>
                <w:rFonts w:hint="eastAsia" w:ascii="仿宋" w:hAnsi="仿宋" w:eastAsia="仿宋"/>
                <w:bCs/>
                <w:szCs w:val="21"/>
              </w:rPr>
              <w:t>当理财产品遭遇大额申购或赎回时，管理人可根据理财产品投资组合的市场冲击成本调整投资者申购或赎回时的产品份额净值，将调整投资组合的市场冲击成本分配给实际申购或赎回的投资者，从而减少对存量产品投资者利益的不利影响，确保投资者的合法权益不受损害并得到公平对待。</w:t>
            </w:r>
          </w:p>
          <w:p>
            <w:pPr>
              <w:adjustRightInd w:val="0"/>
              <w:snapToGrid w:val="0"/>
              <w:spacing w:line="276" w:lineRule="auto"/>
              <w:ind w:firstLine="420" w:firstLineChars="200"/>
              <w:jc w:val="left"/>
            </w:pPr>
            <w:r>
              <w:rPr>
                <w:rFonts w:hint="eastAsia" w:ascii="仿宋" w:hAnsi="仿宋" w:eastAsia="仿宋"/>
                <w:bCs/>
                <w:szCs w:val="21"/>
              </w:rPr>
              <w:t>具体操作规范遵循相关法律法规以及监管部门、自律规则的规定，并以届时管理人信息披露为准。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分红方式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cs="宋体"/>
                <w:kern w:val="0"/>
                <w:szCs w:val="21"/>
              </w:rPr>
            </w:pPr>
            <w:r>
              <w:rPr>
                <w:rFonts w:hint="eastAsia" w:ascii="仿宋" w:hAnsi="仿宋" w:eastAsia="仿宋"/>
                <w:bCs/>
                <w:szCs w:val="21"/>
              </w:rPr>
              <w:t>产品</w:t>
            </w:r>
            <w:r>
              <w:rPr>
                <w:rFonts w:ascii="仿宋" w:hAnsi="仿宋" w:eastAsia="仿宋"/>
                <w:bCs/>
                <w:szCs w:val="21"/>
              </w:rPr>
              <w:t>管理人可以在产品存续期</w:t>
            </w:r>
            <w:r>
              <w:rPr>
                <w:rFonts w:hint="eastAsia" w:ascii="仿宋" w:hAnsi="仿宋" w:eastAsia="仿宋"/>
                <w:bCs/>
                <w:szCs w:val="21"/>
              </w:rPr>
              <w:t>根据</w:t>
            </w:r>
            <w:r>
              <w:rPr>
                <w:rFonts w:ascii="仿宋" w:hAnsi="仿宋" w:eastAsia="仿宋"/>
                <w:bCs/>
                <w:szCs w:val="21"/>
              </w:rPr>
              <w:t>投资情况选择分红</w:t>
            </w:r>
            <w:r>
              <w:rPr>
                <w:rFonts w:hint="eastAsia" w:ascii="仿宋" w:hAnsi="仿宋" w:eastAsia="仿宋"/>
                <w:bCs/>
                <w:szCs w:val="21"/>
              </w:rPr>
              <w:t>或</w:t>
            </w:r>
            <w:r>
              <w:rPr>
                <w:rFonts w:ascii="仿宋" w:hAnsi="仿宋" w:eastAsia="仿宋"/>
                <w:bCs/>
                <w:szCs w:val="21"/>
              </w:rPr>
              <w:t>不分红</w:t>
            </w:r>
            <w:r>
              <w:rPr>
                <w:rFonts w:hint="eastAsia" w:ascii="仿宋" w:hAnsi="仿宋" w:eastAsia="仿宋"/>
                <w:bCs/>
                <w:szCs w:val="21"/>
              </w:rPr>
              <w:t>，若</w:t>
            </w:r>
            <w:r>
              <w:rPr>
                <w:rFonts w:ascii="仿宋" w:hAnsi="仿宋" w:eastAsia="仿宋"/>
                <w:bCs/>
                <w:szCs w:val="21"/>
              </w:rPr>
              <w:t>分红，将以现金</w:t>
            </w:r>
            <w:r>
              <w:rPr>
                <w:rFonts w:hint="eastAsia" w:ascii="仿宋" w:hAnsi="仿宋" w:eastAsia="仿宋"/>
                <w:bCs/>
                <w:szCs w:val="21"/>
              </w:rPr>
              <w:t>分红或</w:t>
            </w:r>
            <w:r>
              <w:rPr>
                <w:rFonts w:ascii="仿宋" w:hAnsi="仿宋" w:eastAsia="仿宋"/>
                <w:bCs/>
                <w:szCs w:val="21"/>
              </w:rPr>
              <w:t>红利再投资方式</w:t>
            </w:r>
            <w:r>
              <w:rPr>
                <w:rFonts w:hint="eastAsia" w:ascii="仿宋" w:hAnsi="仿宋" w:eastAsia="仿宋"/>
                <w:bCs/>
                <w:szCs w:val="21"/>
              </w:rPr>
              <w:t>进行，</w:t>
            </w:r>
            <w:r>
              <w:rPr>
                <w:rFonts w:ascii="仿宋" w:hAnsi="仿宋" w:eastAsia="仿宋"/>
                <w:bCs/>
                <w:szCs w:val="21"/>
              </w:rPr>
              <w:t>具体以公告为准</w:t>
            </w:r>
            <w:r>
              <w:rPr>
                <w:rFonts w:hint="eastAsia" w:ascii="仿宋" w:hAnsi="仿宋" w:eastAsia="仿宋"/>
                <w:bCs/>
                <w:szCs w:val="21"/>
              </w:rPr>
              <w:t>。</w:t>
            </w:r>
            <w:r>
              <w:rPr>
                <w:rFonts w:hint="eastAsia" w:ascii="仿宋" w:hAnsi="仿宋" w:eastAsia="仿宋" w:cs="宋体"/>
                <w:kern w:val="0"/>
                <w:szCs w:val="21"/>
              </w:rPr>
              <w:t>本理财产品</w:t>
            </w:r>
            <w:r>
              <w:rPr>
                <w:rFonts w:ascii="仿宋" w:hAnsi="仿宋" w:eastAsia="仿宋" w:cs="宋体"/>
                <w:kern w:val="0"/>
                <w:szCs w:val="21"/>
              </w:rPr>
              <w:t>分红，</w:t>
            </w:r>
            <w:r>
              <w:rPr>
                <w:rFonts w:hint="eastAsia" w:ascii="仿宋" w:hAnsi="仿宋" w:eastAsia="仿宋" w:cs="宋体"/>
                <w:kern w:val="0"/>
                <w:szCs w:val="21"/>
              </w:rPr>
              <w:t>将于</w:t>
            </w:r>
            <w:r>
              <w:rPr>
                <w:rFonts w:ascii="仿宋" w:hAnsi="仿宋" w:eastAsia="仿宋" w:cs="宋体"/>
                <w:kern w:val="0"/>
                <w:szCs w:val="21"/>
              </w:rPr>
              <w:t>分红</w:t>
            </w:r>
            <w:r>
              <w:rPr>
                <w:rFonts w:hint="eastAsia" w:ascii="仿宋" w:hAnsi="仿宋" w:eastAsia="仿宋" w:cs="宋体"/>
                <w:kern w:val="0"/>
                <w:szCs w:val="21"/>
              </w:rPr>
              <w:t>日</w:t>
            </w:r>
            <w:r>
              <w:rPr>
                <w:rFonts w:ascii="仿宋" w:hAnsi="仿宋" w:eastAsia="仿宋" w:cs="宋体"/>
                <w:kern w:val="0"/>
                <w:szCs w:val="21"/>
              </w:rPr>
              <w:t>前</w:t>
            </w:r>
            <w:r>
              <w:rPr>
                <w:rFonts w:hint="eastAsia" w:ascii="仿宋" w:hAnsi="仿宋" w:eastAsia="仿宋"/>
                <w:bCs/>
                <w:szCs w:val="21"/>
              </w:rPr>
              <w:t>3</w:t>
            </w:r>
            <w:r>
              <w:rPr>
                <w:rFonts w:hint="eastAsia" w:ascii="仿宋" w:hAnsi="仿宋" w:eastAsia="仿宋" w:cs="宋体"/>
                <w:kern w:val="0"/>
                <w:szCs w:val="21"/>
              </w:rPr>
              <w:t>个</w:t>
            </w:r>
            <w:r>
              <w:rPr>
                <w:rFonts w:ascii="仿宋" w:hAnsi="仿宋" w:eastAsia="仿宋" w:cs="宋体"/>
                <w:kern w:val="0"/>
                <w:szCs w:val="21"/>
              </w:rPr>
              <w:t>工作日通过</w:t>
            </w:r>
            <w:r>
              <w:rPr>
                <w:rFonts w:hint="eastAsia" w:ascii="仿宋" w:hAnsi="仿宋" w:eastAsia="仿宋" w:cs="宋体"/>
                <w:kern w:val="0"/>
                <w:szCs w:val="21"/>
              </w:rPr>
              <w:t>本产品说明书约定的信息披露</w:t>
            </w:r>
            <w:r>
              <w:rPr>
                <w:rFonts w:ascii="仿宋" w:hAnsi="仿宋" w:eastAsia="仿宋" w:cs="宋体"/>
                <w:kern w:val="0"/>
                <w:szCs w:val="21"/>
              </w:rPr>
              <w:t>渠道</w:t>
            </w:r>
            <w:r>
              <w:rPr>
                <w:rFonts w:hint="eastAsia" w:ascii="仿宋" w:hAnsi="仿宋" w:eastAsia="仿宋" w:cs="宋体"/>
                <w:kern w:val="0"/>
                <w:szCs w:val="21"/>
              </w:rPr>
              <w:t>公布</w:t>
            </w:r>
            <w:r>
              <w:rPr>
                <w:rFonts w:ascii="仿宋" w:hAnsi="仿宋" w:eastAsia="仿宋" w:cs="宋体"/>
                <w:kern w:val="0"/>
                <w:szCs w:val="21"/>
              </w:rPr>
              <w:t>分红</w:t>
            </w:r>
            <w:r>
              <w:rPr>
                <w:rFonts w:hint="eastAsia" w:ascii="仿宋" w:hAnsi="仿宋" w:eastAsia="仿宋" w:cs="宋体"/>
                <w:kern w:val="0"/>
                <w:szCs w:val="21"/>
              </w:rPr>
              <w:t>方案</w:t>
            </w:r>
            <w:r>
              <w:rPr>
                <w:rFonts w:ascii="仿宋" w:hAnsi="仿宋" w:eastAsia="仿宋" w:cs="宋体"/>
                <w:kern w:val="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提前终止权</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2" w:firstLineChars="200"/>
              <w:jc w:val="left"/>
              <w:rPr>
                <w:rFonts w:ascii="仿宋" w:hAnsi="仿宋" w:eastAsia="仿宋"/>
                <w:b/>
                <w:szCs w:val="21"/>
              </w:rPr>
            </w:pPr>
            <w:r>
              <w:rPr>
                <w:rFonts w:ascii="仿宋" w:hAnsi="仿宋" w:eastAsia="仿宋"/>
                <w:b/>
                <w:szCs w:val="21"/>
              </w:rPr>
              <w:t>一、投资者提前终止权</w:t>
            </w:r>
          </w:p>
          <w:p>
            <w:pPr>
              <w:autoSpaceDE w:val="0"/>
              <w:autoSpaceDN w:val="0"/>
              <w:adjustRightInd w:val="0"/>
              <w:snapToGrid w:val="0"/>
              <w:spacing w:line="240" w:lineRule="atLeast"/>
              <w:ind w:firstLine="422" w:firstLineChars="200"/>
              <w:jc w:val="left"/>
              <w:rPr>
                <w:rFonts w:ascii="仿宋" w:hAnsi="仿宋" w:eastAsia="仿宋"/>
                <w:bCs/>
                <w:szCs w:val="21"/>
              </w:rPr>
            </w:pPr>
            <w:r>
              <w:rPr>
                <w:rFonts w:hint="eastAsia" w:ascii="仿宋" w:hAnsi="仿宋" w:eastAsia="仿宋"/>
                <w:b/>
                <w:szCs w:val="21"/>
              </w:rPr>
              <w:t>华夏理财</w:t>
            </w:r>
            <w:r>
              <w:rPr>
                <w:rFonts w:ascii="仿宋" w:hAnsi="仿宋" w:eastAsia="仿宋"/>
                <w:b/>
                <w:szCs w:val="21"/>
              </w:rPr>
              <w:t>调整本理财产品的</w:t>
            </w:r>
            <w:r>
              <w:rPr>
                <w:rFonts w:hint="eastAsia" w:ascii="仿宋" w:hAnsi="仿宋" w:eastAsia="仿宋"/>
                <w:b/>
                <w:szCs w:val="21"/>
              </w:rPr>
              <w:t>投资范围、投资品种、投资比例、</w:t>
            </w:r>
            <w:r>
              <w:rPr>
                <w:rFonts w:ascii="仿宋" w:hAnsi="仿宋" w:eastAsia="仿宋"/>
                <w:b/>
                <w:szCs w:val="21"/>
              </w:rPr>
              <w:t>收费项目、收费条件、收费标准和收费方式</w:t>
            </w:r>
            <w:r>
              <w:rPr>
                <w:rFonts w:hint="eastAsia" w:ascii="仿宋" w:hAnsi="仿宋" w:eastAsia="仿宋"/>
                <w:b/>
                <w:szCs w:val="21"/>
              </w:rPr>
              <w:t>等，或补充和修订本产品说明书相关条款，将提前3个工作日</w:t>
            </w:r>
            <w:r>
              <w:rPr>
                <w:rFonts w:ascii="仿宋" w:hAnsi="仿宋" w:eastAsia="仿宋"/>
                <w:b/>
                <w:szCs w:val="21"/>
              </w:rPr>
              <w:t>通过</w:t>
            </w:r>
            <w:r>
              <w:rPr>
                <w:rFonts w:hint="eastAsia" w:ascii="仿宋" w:hAnsi="仿宋" w:eastAsia="仿宋"/>
                <w:b/>
                <w:szCs w:val="21"/>
              </w:rPr>
              <w:t>本产品说明书约定的信息披露渠道</w:t>
            </w:r>
            <w:r>
              <w:rPr>
                <w:rFonts w:ascii="仿宋" w:hAnsi="仿宋" w:eastAsia="仿宋"/>
                <w:b/>
                <w:szCs w:val="21"/>
              </w:rPr>
              <w:t>公告</w:t>
            </w:r>
            <w:r>
              <w:rPr>
                <w:rFonts w:hint="eastAsia" w:ascii="仿宋" w:hAnsi="仿宋" w:eastAsia="仿宋"/>
                <w:bCs/>
                <w:szCs w:val="21"/>
              </w:rPr>
              <w:t>。除本产品说明书第十部分“特别提示”所列情形外，</w:t>
            </w:r>
            <w:r>
              <w:rPr>
                <w:rFonts w:ascii="仿宋" w:hAnsi="仿宋" w:eastAsia="仿宋"/>
                <w:bCs/>
                <w:szCs w:val="21"/>
              </w:rPr>
              <w:t>投资者不接受调整的，应在公告确定的期限内向</w:t>
            </w:r>
            <w:r>
              <w:rPr>
                <w:rFonts w:hint="eastAsia" w:ascii="仿宋" w:hAnsi="仿宋" w:eastAsia="仿宋"/>
                <w:bCs/>
                <w:szCs w:val="21"/>
              </w:rPr>
              <w:t>对应销售机构</w:t>
            </w:r>
            <w:r>
              <w:rPr>
                <w:rFonts w:ascii="仿宋" w:hAnsi="仿宋" w:eastAsia="仿宋"/>
                <w:bCs/>
                <w:szCs w:val="21"/>
              </w:rPr>
              <w:t>申请提前赎回并办理相关手续。</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二、华夏</w:t>
            </w:r>
            <w:r>
              <w:rPr>
                <w:rFonts w:hint="eastAsia" w:ascii="仿宋" w:hAnsi="仿宋" w:eastAsia="仿宋"/>
                <w:bCs/>
                <w:szCs w:val="21"/>
              </w:rPr>
              <w:t>理财</w:t>
            </w:r>
            <w:r>
              <w:rPr>
                <w:rFonts w:ascii="仿宋" w:hAnsi="仿宋" w:eastAsia="仿宋"/>
                <w:bCs/>
                <w:szCs w:val="21"/>
              </w:rPr>
              <w:t>提前终止权</w:t>
            </w:r>
          </w:p>
          <w:p>
            <w:pPr>
              <w:autoSpaceDE w:val="0"/>
              <w:autoSpaceDN w:val="0"/>
              <w:adjustRightInd w:val="0"/>
              <w:snapToGrid w:val="0"/>
              <w:spacing w:line="240" w:lineRule="atLeast"/>
              <w:jc w:val="left"/>
              <w:rPr>
                <w:rFonts w:ascii="仿宋" w:hAnsi="仿宋" w:eastAsia="仿宋"/>
                <w:b/>
                <w:bCs/>
                <w:szCs w:val="21"/>
              </w:rPr>
            </w:pPr>
            <w:r>
              <w:rPr>
                <w:rFonts w:ascii="仿宋" w:hAnsi="仿宋" w:eastAsia="仿宋"/>
                <w:bCs/>
                <w:szCs w:val="21"/>
              </w:rPr>
              <w:t xml:space="preserve">    </w:t>
            </w:r>
            <w:r>
              <w:rPr>
                <w:rFonts w:ascii="仿宋" w:hAnsi="仿宋" w:eastAsia="仿宋"/>
                <w:b/>
                <w:bCs/>
                <w:szCs w:val="21"/>
              </w:rPr>
              <w:t>1．出现下列情形，华夏</w:t>
            </w:r>
            <w:r>
              <w:rPr>
                <w:rFonts w:hint="eastAsia" w:ascii="仿宋" w:hAnsi="仿宋" w:eastAsia="仿宋"/>
                <w:b/>
                <w:bCs/>
                <w:szCs w:val="21"/>
              </w:rPr>
              <w:t>理财</w:t>
            </w:r>
            <w:r>
              <w:rPr>
                <w:rFonts w:ascii="仿宋" w:hAnsi="仿宋" w:eastAsia="仿宋"/>
                <w:b/>
                <w:bCs/>
                <w:szCs w:val="21"/>
              </w:rPr>
              <w:t>有权提前终止本理财产品：</w:t>
            </w:r>
          </w:p>
          <w:p>
            <w:pPr>
              <w:autoSpaceDE w:val="0"/>
              <w:autoSpaceDN w:val="0"/>
              <w:adjustRightInd w:val="0"/>
              <w:snapToGrid w:val="0"/>
              <w:spacing w:line="240" w:lineRule="atLeast"/>
              <w:ind w:firstLine="420" w:firstLineChars="200"/>
              <w:jc w:val="left"/>
              <w:rPr>
                <w:rFonts w:ascii="仿宋" w:hAnsi="仿宋" w:eastAsia="仿宋" w:cs="宋体"/>
                <w:bCs/>
                <w:szCs w:val="21"/>
              </w:rPr>
            </w:pPr>
            <w:r>
              <w:rPr>
                <w:rFonts w:hint="eastAsia" w:ascii="仿宋" w:hAnsi="仿宋" w:eastAsia="仿宋" w:cs="宋体"/>
                <w:bCs/>
                <w:szCs w:val="21"/>
              </w:rPr>
              <w:t>①</w:t>
            </w:r>
            <w:r>
              <w:rPr>
                <w:rFonts w:hint="eastAsia" w:ascii="仿宋" w:hAnsi="仿宋" w:eastAsia="仿宋"/>
                <w:bCs/>
                <w:szCs w:val="21"/>
              </w:rPr>
              <w:t>当本理财产品份额低于</w:t>
            </w:r>
            <w:r>
              <w:rPr>
                <w:rFonts w:ascii="仿宋" w:hAnsi="仿宋" w:eastAsia="仿宋"/>
                <w:bCs/>
                <w:szCs w:val="21"/>
              </w:rPr>
              <w:t>1</w:t>
            </w:r>
            <w:r>
              <w:rPr>
                <w:rFonts w:hint="eastAsia" w:ascii="仿宋" w:hAnsi="仿宋" w:eastAsia="仿宋"/>
                <w:bCs/>
                <w:szCs w:val="21"/>
              </w:rPr>
              <w:t>000万份时；</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②</w:t>
            </w:r>
            <w:r>
              <w:rPr>
                <w:rFonts w:hint="eastAsia" w:ascii="仿宋" w:hAnsi="仿宋" w:eastAsia="仿宋"/>
                <w:bCs/>
                <w:szCs w:val="21"/>
              </w:rPr>
              <w:t>法律法规、监管规定、国家政策</w:t>
            </w:r>
            <w:r>
              <w:rPr>
                <w:rFonts w:ascii="仿宋" w:hAnsi="仿宋" w:eastAsia="仿宋"/>
                <w:bCs/>
                <w:szCs w:val="21"/>
              </w:rPr>
              <w:t>出现重大调整影响本理财产品正常运作；</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③</w:t>
            </w:r>
            <w:r>
              <w:rPr>
                <w:rFonts w:hint="eastAsia" w:ascii="仿宋" w:hAnsi="仿宋" w:eastAsia="仿宋"/>
                <w:bCs/>
                <w:szCs w:val="21"/>
              </w:rPr>
              <w:t>市场收益率大幅波动，可能或实质影响到产品所能实现的投资收益；</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④</w:t>
            </w:r>
            <w:r>
              <w:rPr>
                <w:rFonts w:ascii="仿宋" w:hAnsi="仿宋" w:eastAsia="仿宋"/>
                <w:bCs/>
                <w:szCs w:val="21"/>
              </w:rPr>
              <w:t>理财资金所投资的</w:t>
            </w:r>
            <w:r>
              <w:rPr>
                <w:rFonts w:hint="eastAsia" w:ascii="仿宋" w:hAnsi="仿宋" w:eastAsia="仿宋"/>
                <w:bCs/>
                <w:szCs w:val="21"/>
              </w:rPr>
              <w:t>相关资产</w:t>
            </w:r>
            <w:r>
              <w:rPr>
                <w:rFonts w:ascii="仿宋" w:hAnsi="仿宋" w:eastAsia="仿宋"/>
                <w:bCs/>
                <w:szCs w:val="21"/>
              </w:rPr>
              <w:t>提前终止</w:t>
            </w:r>
            <w:r>
              <w:rPr>
                <w:rFonts w:hint="eastAsia" w:ascii="仿宋" w:hAnsi="仿宋" w:eastAsia="仿宋"/>
                <w:bCs/>
                <w:szCs w:val="21"/>
              </w:rPr>
              <w:t>，或本理财产品根据投资策略、交易结构触碰提前终止条件；</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⑤</w:t>
            </w:r>
            <w:r>
              <w:rPr>
                <w:rFonts w:ascii="仿宋" w:hAnsi="仿宋" w:eastAsia="仿宋"/>
                <w:bCs/>
                <w:szCs w:val="21"/>
              </w:rPr>
              <w:t>法律法规、监管规定及国家政策规定的其他情形</w:t>
            </w:r>
            <w:r>
              <w:rPr>
                <w:rFonts w:hint="eastAsia" w:ascii="仿宋" w:hAnsi="仿宋" w:eastAsia="仿宋"/>
                <w:bCs/>
                <w:szCs w:val="21"/>
              </w:rPr>
              <w:t>或华夏理财认为需要提前终止的其他情形</w:t>
            </w:r>
            <w:r>
              <w:rPr>
                <w:rFonts w:ascii="仿宋" w:hAnsi="仿宋" w:eastAsia="仿宋"/>
                <w:bCs/>
                <w:szCs w:val="21"/>
              </w:rPr>
              <w:t>。</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2．华夏</w:t>
            </w:r>
            <w:r>
              <w:rPr>
                <w:rFonts w:hint="eastAsia" w:ascii="仿宋" w:hAnsi="仿宋" w:eastAsia="仿宋"/>
                <w:bCs/>
                <w:szCs w:val="21"/>
              </w:rPr>
              <w:t>理财</w:t>
            </w:r>
            <w:r>
              <w:rPr>
                <w:rFonts w:ascii="仿宋" w:hAnsi="仿宋" w:eastAsia="仿宋"/>
                <w:bCs/>
                <w:szCs w:val="21"/>
              </w:rPr>
              <w:t>提前终止本理财产品的，在提前终止日前3个工作日通过</w:t>
            </w:r>
            <w:r>
              <w:rPr>
                <w:rFonts w:hint="eastAsia" w:ascii="仿宋" w:hAnsi="仿宋" w:eastAsia="仿宋"/>
                <w:bCs/>
                <w:szCs w:val="21"/>
              </w:rPr>
              <w:t>本产品说明书约定的信息披露渠道</w:t>
            </w:r>
            <w:r>
              <w:rPr>
                <w:rFonts w:ascii="仿宋" w:hAnsi="仿宋" w:eastAsia="仿宋"/>
                <w:bCs/>
                <w:szCs w:val="21"/>
              </w:rPr>
              <w:t>公告</w:t>
            </w:r>
            <w:r>
              <w:rPr>
                <w:rFonts w:hint="eastAsia" w:ascii="仿宋" w:hAnsi="仿宋" w:eastAsia="仿宋"/>
                <w:bCs/>
                <w:szCs w:val="21"/>
              </w:rPr>
              <w:t>相关信息。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税款</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根据法律法规规定，本理财产品在资产管理、运营、处置过程中产生收入应缴纳和承担税收和规费的，由管理人直接从理财资产中扣付缴纳。</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理财收益的应纳税款由投资者自行申报及缴纳，但若根据法律法规等规定或税务等国家机关的命令或要求，华夏</w:t>
            </w:r>
            <w:r>
              <w:rPr>
                <w:rFonts w:hint="eastAsia" w:ascii="仿宋" w:hAnsi="仿宋" w:eastAsia="仿宋"/>
                <w:bCs/>
                <w:szCs w:val="21"/>
              </w:rPr>
              <w:t>理财</w:t>
            </w:r>
            <w:r>
              <w:rPr>
                <w:rFonts w:ascii="仿宋" w:hAnsi="仿宋" w:eastAsia="仿宋"/>
                <w:bCs/>
                <w:szCs w:val="21"/>
              </w:rPr>
              <w:t>有义务代扣代缴投资者承担的税费时，华夏</w:t>
            </w:r>
            <w:r>
              <w:rPr>
                <w:rFonts w:hint="eastAsia" w:ascii="仿宋" w:hAnsi="仿宋" w:eastAsia="仿宋"/>
                <w:bCs/>
                <w:szCs w:val="21"/>
              </w:rPr>
              <w:t>理财</w:t>
            </w:r>
            <w:r>
              <w:rPr>
                <w:rFonts w:ascii="仿宋" w:hAnsi="仿宋" w:eastAsia="仿宋"/>
                <w:bCs/>
                <w:szCs w:val="21"/>
              </w:rPr>
              <w:t>将</w:t>
            </w:r>
            <w:r>
              <w:rPr>
                <w:rFonts w:hint="eastAsia" w:ascii="仿宋" w:hAnsi="仿宋" w:eastAsia="仿宋"/>
                <w:bCs/>
                <w:szCs w:val="21"/>
              </w:rPr>
              <w:t>予以</w:t>
            </w:r>
            <w:r>
              <w:rPr>
                <w:rFonts w:ascii="仿宋" w:hAnsi="仿宋" w:eastAsia="仿宋"/>
                <w:bCs/>
                <w:szCs w:val="21"/>
              </w:rPr>
              <w:t>代扣代缴。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cs="宋体"/>
                <w:color w:val="000000"/>
                <w:kern w:val="0"/>
                <w:szCs w:val="21"/>
              </w:rPr>
            </w:pPr>
            <w:r>
              <w:rPr>
                <w:rFonts w:ascii="仿宋" w:hAnsi="仿宋" w:eastAsia="仿宋" w:cs="宋体"/>
                <w:color w:val="000000"/>
                <w:kern w:val="0"/>
                <w:szCs w:val="21"/>
              </w:rPr>
              <w:t>其他规定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（1</w:t>
            </w:r>
            <w:r>
              <w:rPr>
                <w:rFonts w:hint="eastAsia" w:ascii="仿宋" w:hAnsi="仿宋" w:eastAsia="仿宋"/>
                <w:bCs/>
                <w:szCs w:val="21"/>
              </w:rPr>
              <w:t>）</w:t>
            </w:r>
            <w:r>
              <w:rPr>
                <w:rFonts w:hint="eastAsia" w:ascii="仿宋" w:hAnsi="仿宋" w:eastAsia="仿宋" w:cs="宋体"/>
                <w:kern w:val="0"/>
                <w:szCs w:val="21"/>
              </w:rPr>
              <w:t>由华夏理财销售的，募集期认购资金</w:t>
            </w:r>
            <w:r>
              <w:rPr>
                <w:rFonts w:ascii="仿宋" w:hAnsi="仿宋" w:eastAsia="仿宋" w:cs="宋体"/>
                <w:kern w:val="0"/>
                <w:szCs w:val="21"/>
              </w:rPr>
              <w:t>计息规则</w:t>
            </w:r>
            <w:r>
              <w:rPr>
                <w:rFonts w:hint="eastAsia" w:ascii="仿宋" w:hAnsi="仿宋" w:eastAsia="仿宋" w:cs="宋体"/>
                <w:kern w:val="0"/>
                <w:szCs w:val="21"/>
              </w:rPr>
              <w:t>以华夏理财渠道披露的理财</w:t>
            </w:r>
            <w:r>
              <w:rPr>
                <w:rFonts w:ascii="仿宋" w:hAnsi="仿宋" w:eastAsia="仿宋" w:cs="宋体"/>
                <w:kern w:val="0"/>
                <w:szCs w:val="21"/>
              </w:rPr>
              <w:t>产品销售协议书</w:t>
            </w:r>
            <w:r>
              <w:rPr>
                <w:rFonts w:hint="eastAsia" w:ascii="仿宋" w:hAnsi="仿宋" w:eastAsia="仿宋" w:cs="宋体"/>
                <w:kern w:val="0"/>
                <w:szCs w:val="21"/>
              </w:rPr>
              <w:t>约定为准。</w:t>
            </w:r>
          </w:p>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（2</w:t>
            </w:r>
            <w:r>
              <w:rPr>
                <w:rFonts w:hint="eastAsia" w:ascii="仿宋" w:hAnsi="仿宋" w:eastAsia="仿宋"/>
                <w:bCs/>
                <w:szCs w:val="21"/>
              </w:rPr>
              <w:t>）</w:t>
            </w:r>
            <w:r>
              <w:rPr>
                <w:rFonts w:hint="eastAsia" w:ascii="仿宋" w:hAnsi="仿宋" w:eastAsia="仿宋" w:cs="宋体"/>
                <w:kern w:val="0"/>
                <w:szCs w:val="21"/>
              </w:rPr>
              <w:t>由华夏银行销售的，募集期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息，且该利息不计入认购本金</w:t>
            </w:r>
            <w:r>
              <w:rPr>
                <w:rFonts w:hint="eastAsia" w:ascii="仿宋" w:hAnsi="仿宋" w:eastAsia="仿宋" w:cs="宋体"/>
                <w:kern w:val="0"/>
                <w:szCs w:val="21"/>
              </w:rPr>
              <w:t>。</w:t>
            </w:r>
          </w:p>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（3</w:t>
            </w:r>
            <w:r>
              <w:rPr>
                <w:rFonts w:hint="eastAsia" w:ascii="仿宋" w:hAnsi="仿宋" w:eastAsia="仿宋"/>
                <w:bCs/>
                <w:szCs w:val="21"/>
              </w:rPr>
              <w:t>）</w:t>
            </w:r>
            <w:r>
              <w:rPr>
                <w:rFonts w:hint="eastAsia" w:ascii="仿宋" w:hAnsi="仿宋" w:eastAsia="仿宋" w:cs="宋体"/>
                <w:kern w:val="0"/>
                <w:szCs w:val="21"/>
              </w:rPr>
              <w:t>由</w:t>
            </w:r>
            <w:r>
              <w:rPr>
                <w:rFonts w:ascii="仿宋" w:hAnsi="仿宋" w:eastAsia="仿宋" w:cs="宋体"/>
                <w:kern w:val="0"/>
                <w:szCs w:val="21"/>
              </w:rPr>
              <w:t>代销机构</w:t>
            </w:r>
            <w:r>
              <w:rPr>
                <w:rFonts w:hint="eastAsia" w:ascii="仿宋" w:hAnsi="仿宋" w:eastAsia="仿宋" w:cs="宋体"/>
                <w:kern w:val="0"/>
                <w:szCs w:val="21"/>
              </w:rPr>
              <w:t>销售</w:t>
            </w:r>
            <w:r>
              <w:rPr>
                <w:rFonts w:ascii="仿宋" w:hAnsi="仿宋" w:eastAsia="仿宋" w:cs="宋体"/>
                <w:kern w:val="0"/>
                <w:szCs w:val="21"/>
              </w:rPr>
              <w:t>的，</w:t>
            </w:r>
            <w:r>
              <w:rPr>
                <w:rFonts w:hint="eastAsia" w:ascii="仿宋" w:hAnsi="仿宋" w:eastAsia="仿宋" w:cs="宋体"/>
                <w:kern w:val="0"/>
                <w:szCs w:val="21"/>
              </w:rPr>
              <w:t>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资金按照代销机构</w:t>
            </w:r>
            <w:r>
              <w:rPr>
                <w:rFonts w:hint="eastAsia" w:ascii="仿宋" w:hAnsi="仿宋" w:eastAsia="仿宋" w:cs="宋体"/>
                <w:kern w:val="0"/>
                <w:szCs w:val="21"/>
              </w:rPr>
              <w:t>与</w:t>
            </w:r>
            <w:r>
              <w:rPr>
                <w:rFonts w:ascii="仿宋" w:hAnsi="仿宋" w:eastAsia="仿宋" w:cs="宋体"/>
                <w:kern w:val="0"/>
                <w:szCs w:val="21"/>
              </w:rPr>
              <w:t>投资人约定的</w:t>
            </w:r>
            <w:r>
              <w:rPr>
                <w:rFonts w:hint="eastAsia" w:ascii="仿宋" w:hAnsi="仿宋" w:eastAsia="仿宋" w:cs="宋体"/>
                <w:kern w:val="0"/>
                <w:szCs w:val="21"/>
              </w:rPr>
              <w:t>计息方式执行</w:t>
            </w:r>
            <w:r>
              <w:rPr>
                <w:rFonts w:ascii="仿宋" w:hAnsi="仿宋" w:eastAsia="仿宋" w:cs="宋体"/>
                <w:kern w:val="0"/>
                <w:szCs w:val="21"/>
              </w:rPr>
              <w:t>。</w:t>
            </w:r>
          </w:p>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（4</w:t>
            </w:r>
            <w:r>
              <w:rPr>
                <w:rFonts w:hint="eastAsia" w:ascii="仿宋" w:hAnsi="仿宋" w:eastAsia="仿宋"/>
                <w:bCs/>
                <w:szCs w:val="21"/>
              </w:rPr>
              <w:t>）</w:t>
            </w:r>
            <w:r>
              <w:rPr>
                <w:rFonts w:hint="eastAsia" w:ascii="仿宋" w:hAnsi="仿宋" w:eastAsia="仿宋" w:cs="宋体"/>
                <w:kern w:val="0"/>
                <w:szCs w:val="21"/>
              </w:rPr>
              <w:t>理财产品赎回申请/到期/终止日（不含）至资金到账日（不含）之间，投资者资金不计存款利息及理财收益。</w:t>
            </w:r>
          </w:p>
        </w:tc>
      </w:tr>
    </w:tbl>
    <w:p>
      <w:pPr>
        <w:pStyle w:val="22"/>
        <w:snapToGrid w:val="0"/>
        <w:spacing w:after="156" w:afterLines="50" w:line="400" w:lineRule="exact"/>
        <w:ind w:firstLine="482" w:firstLineChars="200"/>
        <w:jc w:val="both"/>
        <w:rPr>
          <w:rFonts w:ascii="Times New Roman" w:eastAsia="黑体" w:cs="Times New Roman"/>
          <w:b/>
          <w:color w:val="auto"/>
        </w:rPr>
      </w:pP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二、</w:t>
      </w:r>
      <w:r>
        <w:rPr>
          <w:rFonts w:ascii="Times New Roman" w:eastAsia="黑体" w:cs="Times New Roman"/>
          <w:b/>
          <w:color w:val="auto"/>
        </w:rPr>
        <w:t>投资对象</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本理财产品将主要投资于固定收益类、</w:t>
      </w:r>
      <w:r>
        <w:rPr>
          <w:rFonts w:hint="eastAsia" w:eastAsia="仿宋"/>
          <w:color w:val="000000"/>
          <w:kern w:val="0"/>
          <w:sz w:val="24"/>
        </w:rPr>
        <w:t>权益类、商品及金融衍生品类</w:t>
      </w:r>
      <w:r>
        <w:rPr>
          <w:rFonts w:hint="eastAsia" w:ascii="仿宋" w:hAnsi="仿宋" w:eastAsia="仿宋" w:cs="宋体"/>
          <w:color w:val="000000"/>
          <w:kern w:val="0"/>
          <w:sz w:val="24"/>
        </w:rPr>
        <w:t>资产。</w:t>
      </w:r>
    </w:p>
    <w:p>
      <w:pPr>
        <w:widowControl/>
        <w:adjustRightInd w:val="0"/>
        <w:snapToGrid w:val="0"/>
        <w:spacing w:line="276" w:lineRule="auto"/>
        <w:ind w:firstLine="480" w:firstLineChars="200"/>
        <w:contextualSpacing/>
        <w:jc w:val="left"/>
        <w:rPr>
          <w:rFonts w:ascii="仿宋" w:hAnsi="仿宋" w:eastAsia="仿宋" w:cs="宋体"/>
          <w:color w:val="000000"/>
          <w:kern w:val="0"/>
          <w:sz w:val="24"/>
        </w:rPr>
      </w:pPr>
      <w:r>
        <w:rPr>
          <w:rFonts w:hint="eastAsia" w:ascii="仿宋" w:hAnsi="仿宋" w:eastAsia="仿宋" w:cs="宋体"/>
          <w:color w:val="000000"/>
          <w:kern w:val="0"/>
          <w:sz w:val="24"/>
        </w:rPr>
        <w:t>本理财产品可以按照国务院金融管理部门相关规定开展回购业务，回购业务中可接受押品的资质要求与本说明书约定的投资范围保持一致。</w:t>
      </w:r>
    </w:p>
    <w:p>
      <w:pPr>
        <w:widowControl/>
        <w:adjustRightInd w:val="0"/>
        <w:snapToGrid w:val="0"/>
        <w:spacing w:line="276" w:lineRule="auto"/>
        <w:ind w:firstLine="480" w:firstLineChars="200"/>
        <w:contextualSpacing/>
        <w:jc w:val="left"/>
        <w:rPr>
          <w:rFonts w:ascii="仿宋" w:hAnsi="仿宋" w:eastAsia="仿宋" w:cs="宋体"/>
          <w:color w:val="000000"/>
          <w:kern w:val="0"/>
          <w:sz w:val="24"/>
        </w:rPr>
      </w:pPr>
      <w:r>
        <w:rPr>
          <w:rFonts w:hint="eastAsia" w:ascii="仿宋" w:hAnsi="仿宋" w:eastAsia="仿宋" w:cs="宋体"/>
          <w:color w:val="000000"/>
          <w:kern w:val="0"/>
          <w:sz w:val="24"/>
        </w:rPr>
        <w:t>产品的投资范围可能随国家法律法规及监管政策的变化而调整，如法律法规或监管机构以后允许银行理财产品投资其他品种，可在公告后，将其纳入投资范围，投资比例将遵循法律法规或相关规定。</w:t>
      </w:r>
    </w:p>
    <w:p>
      <w:pPr>
        <w:keepNext/>
        <w:widowControl/>
        <w:adjustRightInd w:val="0"/>
        <w:snapToGrid w:val="0"/>
        <w:spacing w:line="276" w:lineRule="auto"/>
        <w:ind w:firstLine="480" w:firstLineChars="200"/>
        <w:contextualSpacing/>
        <w:jc w:val="left"/>
        <w:rPr>
          <w:rFonts w:ascii="仿宋" w:hAnsi="仿宋" w:eastAsia="仿宋" w:cs="宋体"/>
          <w:color w:val="000000"/>
          <w:kern w:val="0"/>
          <w:sz w:val="24"/>
        </w:rPr>
      </w:pPr>
      <w:r>
        <w:rPr>
          <w:rFonts w:hint="eastAsia" w:ascii="仿宋" w:hAnsi="仿宋" w:eastAsia="仿宋" w:cs="宋体"/>
          <w:color w:val="000000"/>
          <w:kern w:val="0"/>
          <w:sz w:val="24"/>
        </w:rPr>
        <w:t>各类资产投资比例如下：</w:t>
      </w:r>
    </w:p>
    <w:tbl>
      <w:tblPr>
        <w:tblStyle w:val="11"/>
        <w:tblW w:w="0" w:type="auto"/>
        <w:tblCellSpacing w:w="0" w:type="dxa"/>
        <w:tblInd w:w="0" w:type="dxa"/>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
      <w:tblGrid>
        <w:gridCol w:w="5544"/>
        <w:gridCol w:w="2519"/>
      </w:tblGrid>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447" w:hRule="atLeast"/>
          <w:tblCellSpacing w:w="0" w:type="dxa"/>
        </w:trPr>
        <w:tc>
          <w:tcPr>
            <w:tcW w:w="5544" w:type="dxa"/>
            <w:tcBorders>
              <w:top w:val="outset" w:color="auto" w:sz="6" w:space="0"/>
              <w:left w:val="outset" w:color="auto" w:sz="6" w:space="0"/>
              <w:bottom w:val="outset" w:color="auto" w:sz="6" w:space="0"/>
              <w:right w:val="outset" w:color="auto" w:sz="6" w:space="0"/>
            </w:tcBorders>
            <w:vAlign w:val="center"/>
          </w:tcPr>
          <w:p>
            <w:pPr>
              <w:keepNext/>
              <w:adjustRightInd w:val="0"/>
              <w:snapToGrid w:val="0"/>
              <w:jc w:val="center"/>
              <w:rPr>
                <w:rFonts w:eastAsia="仿宋"/>
                <w:color w:val="000000"/>
                <w:kern w:val="0"/>
                <w:sz w:val="24"/>
              </w:rPr>
            </w:pPr>
            <w:r>
              <w:rPr>
                <w:rFonts w:hint="eastAsia" w:eastAsia="仿宋"/>
                <w:color w:val="000000"/>
                <w:kern w:val="0"/>
                <w:sz w:val="24"/>
              </w:rPr>
              <w:t>资产</w:t>
            </w:r>
            <w:r>
              <w:rPr>
                <w:rFonts w:eastAsia="仿宋"/>
                <w:color w:val="000000"/>
                <w:kern w:val="0"/>
                <w:sz w:val="24"/>
              </w:rPr>
              <w:t>类别</w:t>
            </w:r>
          </w:p>
        </w:tc>
        <w:tc>
          <w:tcPr>
            <w:tcW w:w="2519" w:type="dxa"/>
            <w:tcBorders>
              <w:top w:val="outset" w:color="auto" w:sz="6" w:space="0"/>
              <w:left w:val="outset" w:color="auto" w:sz="6" w:space="0"/>
              <w:bottom w:val="outset" w:color="auto" w:sz="6" w:space="0"/>
              <w:right w:val="outset" w:color="auto" w:sz="6" w:space="0"/>
            </w:tcBorders>
            <w:vAlign w:val="center"/>
          </w:tcPr>
          <w:p>
            <w:pPr>
              <w:keepNext/>
              <w:adjustRightInd w:val="0"/>
              <w:snapToGrid w:val="0"/>
              <w:jc w:val="center"/>
              <w:rPr>
                <w:rFonts w:eastAsia="仿宋"/>
                <w:color w:val="000000"/>
                <w:kern w:val="0"/>
                <w:sz w:val="24"/>
              </w:rPr>
            </w:pPr>
            <w:r>
              <w:rPr>
                <w:rFonts w:eastAsia="仿宋"/>
                <w:color w:val="000000"/>
                <w:kern w:val="0"/>
                <w:sz w:val="24"/>
              </w:rPr>
              <w:t>投资比例</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447" w:hRule="atLeast"/>
          <w:tblCellSpacing w:w="0" w:type="dxa"/>
        </w:trPr>
        <w:tc>
          <w:tcPr>
            <w:tcW w:w="5544" w:type="dxa"/>
            <w:tcBorders>
              <w:top w:val="outset" w:color="auto" w:sz="6" w:space="0"/>
              <w:left w:val="outset" w:color="auto" w:sz="6" w:space="0"/>
              <w:bottom w:val="outset" w:color="auto" w:sz="6" w:space="0"/>
              <w:right w:val="outset" w:color="auto" w:sz="6" w:space="0"/>
            </w:tcBorders>
            <w:vAlign w:val="center"/>
          </w:tcPr>
          <w:p>
            <w:pPr>
              <w:adjustRightInd w:val="0"/>
              <w:snapToGrid w:val="0"/>
              <w:spacing w:line="240" w:lineRule="auto"/>
              <w:jc w:val="center"/>
              <w:rPr>
                <w:rFonts w:ascii="仿宋" w:hAnsi="仿宋" w:eastAsia="仿宋" w:cs="宋体"/>
                <w:color w:val="000000"/>
                <w:kern w:val="0"/>
                <w:sz w:val="24"/>
              </w:rPr>
            </w:pPr>
            <w:r>
              <w:rPr>
                <w:rFonts w:hint="eastAsia" w:ascii="仿宋" w:hAnsi="仿宋" w:eastAsia="仿宋" w:cs="宋体"/>
                <w:color w:val="000000"/>
                <w:kern w:val="0"/>
                <w:sz w:val="24"/>
              </w:rPr>
              <w:t>固定收益类</w:t>
            </w:r>
          </w:p>
          <w:p>
            <w:pPr>
              <w:adjustRightInd w:val="0"/>
              <w:snapToGrid w:val="0"/>
              <w:spacing w:line="240" w:lineRule="auto"/>
              <w:jc w:val="center"/>
              <w:rPr>
                <w:rFonts w:eastAsia="仿宋"/>
                <w:color w:val="000000"/>
                <w:kern w:val="0"/>
                <w:sz w:val="24"/>
              </w:rPr>
            </w:pPr>
            <w:r>
              <w:rPr>
                <w:rFonts w:hint="eastAsia" w:ascii="仿宋" w:hAnsi="仿宋" w:eastAsia="仿宋" w:cs="宋体"/>
                <w:color w:val="000000"/>
                <w:kern w:val="0"/>
                <w:sz w:val="24"/>
              </w:rPr>
              <w:t>（其中固定收益类资产包括货币市场工具、标准化债权类资产、非标准化债权类资产等，单只公募理财产品投资非标准化债权类资产的比例不超过50%）</w:t>
            </w:r>
          </w:p>
        </w:tc>
        <w:tc>
          <w:tcPr>
            <w:tcW w:w="2519" w:type="dxa"/>
            <w:tcBorders>
              <w:top w:val="outset" w:color="auto" w:sz="6" w:space="0"/>
              <w:left w:val="outset" w:color="auto" w:sz="6" w:space="0"/>
              <w:bottom w:val="outset" w:color="auto" w:sz="6" w:space="0"/>
              <w:right w:val="outset" w:color="auto" w:sz="6" w:space="0"/>
            </w:tcBorders>
            <w:vAlign w:val="center"/>
          </w:tcPr>
          <w:p>
            <w:pPr>
              <w:adjustRightInd w:val="0"/>
              <w:snapToGrid w:val="0"/>
              <w:spacing w:line="240" w:lineRule="auto"/>
              <w:jc w:val="center"/>
              <w:rPr>
                <w:rFonts w:eastAsia="仿宋"/>
                <w:color w:val="000000"/>
                <w:kern w:val="0"/>
                <w:sz w:val="24"/>
              </w:rPr>
            </w:pPr>
            <w:r>
              <w:rPr>
                <w:rFonts w:hint="eastAsia" w:ascii="仿宋" w:hAnsi="仿宋" w:eastAsia="仿宋" w:cs="宋体"/>
                <w:color w:val="000000"/>
                <w:kern w:val="0"/>
                <w:sz w:val="24"/>
              </w:rPr>
              <w:t>80%-100%</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411" w:hRule="atLeast"/>
          <w:tblCellSpacing w:w="0" w:type="dxa"/>
        </w:trPr>
        <w:tc>
          <w:tcPr>
            <w:tcW w:w="5544" w:type="dxa"/>
            <w:tcBorders>
              <w:top w:val="outset" w:color="auto" w:sz="6" w:space="0"/>
              <w:left w:val="outset" w:color="auto" w:sz="6" w:space="0"/>
              <w:bottom w:val="outset" w:color="auto" w:sz="6" w:space="0"/>
              <w:right w:val="outset" w:color="auto" w:sz="6" w:space="0"/>
            </w:tcBorders>
            <w:vAlign w:val="center"/>
          </w:tcPr>
          <w:p>
            <w:pPr>
              <w:adjustRightInd w:val="0"/>
              <w:snapToGrid w:val="0"/>
              <w:spacing w:line="240" w:lineRule="auto"/>
              <w:jc w:val="center"/>
              <w:rPr>
                <w:rFonts w:eastAsia="仿宋"/>
                <w:color w:val="000000"/>
                <w:kern w:val="0"/>
                <w:sz w:val="24"/>
              </w:rPr>
            </w:pPr>
            <w:r>
              <w:rPr>
                <w:rFonts w:hint="eastAsia" w:ascii="仿宋" w:hAnsi="仿宋" w:eastAsia="仿宋" w:cs="宋体"/>
                <w:color w:val="000000"/>
                <w:kern w:val="0"/>
                <w:sz w:val="24"/>
              </w:rPr>
              <w:t>权益类</w:t>
            </w:r>
          </w:p>
        </w:tc>
        <w:tc>
          <w:tcPr>
            <w:tcW w:w="2519" w:type="dxa"/>
            <w:tcBorders>
              <w:top w:val="outset" w:color="auto" w:sz="6" w:space="0"/>
              <w:left w:val="outset" w:color="auto" w:sz="6" w:space="0"/>
              <w:bottom w:val="outset" w:color="auto" w:sz="6" w:space="0"/>
              <w:right w:val="outset" w:color="auto" w:sz="6" w:space="0"/>
            </w:tcBorders>
            <w:vAlign w:val="center"/>
          </w:tcPr>
          <w:p>
            <w:pPr>
              <w:adjustRightInd w:val="0"/>
              <w:snapToGrid w:val="0"/>
              <w:spacing w:line="240" w:lineRule="auto"/>
              <w:jc w:val="center"/>
              <w:rPr>
                <w:rFonts w:eastAsia="仿宋"/>
                <w:color w:val="000000"/>
                <w:kern w:val="0"/>
                <w:sz w:val="24"/>
              </w:rPr>
            </w:pPr>
            <w:r>
              <w:rPr>
                <w:rFonts w:hint="eastAsia" w:ascii="仿宋" w:hAnsi="仿宋" w:eastAsia="仿宋" w:cs="宋体"/>
                <w:color w:val="000000"/>
                <w:kern w:val="0"/>
                <w:sz w:val="24"/>
              </w:rPr>
              <w:t>0%-20%</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411" w:hRule="atLeast"/>
          <w:tblCellSpacing w:w="0" w:type="dxa"/>
        </w:trPr>
        <w:tc>
          <w:tcPr>
            <w:tcW w:w="5544" w:type="dxa"/>
            <w:tcBorders>
              <w:top w:val="outset" w:color="auto" w:sz="6" w:space="0"/>
              <w:left w:val="outset" w:color="auto" w:sz="6" w:space="0"/>
              <w:bottom w:val="outset" w:color="auto" w:sz="6" w:space="0"/>
              <w:right w:val="outset" w:color="auto" w:sz="6" w:space="0"/>
            </w:tcBorders>
            <w:vAlign w:val="center"/>
          </w:tcPr>
          <w:p>
            <w:pPr>
              <w:keepNext/>
              <w:spacing w:line="240" w:lineRule="auto"/>
              <w:jc w:val="center"/>
              <w:rPr>
                <w:rFonts w:eastAsia="仿宋_GB2312" w:cs="仿宋_GB2312"/>
                <w:kern w:val="0"/>
                <w:sz w:val="24"/>
              </w:rPr>
            </w:pPr>
            <w:r>
              <w:rPr>
                <w:rFonts w:hint="eastAsia" w:eastAsia="仿宋_GB2312" w:cs="仿宋_GB2312"/>
                <w:kern w:val="0"/>
                <w:sz w:val="24"/>
              </w:rPr>
              <w:t>商品及金融衍生品类</w:t>
            </w:r>
          </w:p>
          <w:p>
            <w:pPr>
              <w:adjustRightInd w:val="0"/>
              <w:snapToGrid w:val="0"/>
              <w:spacing w:line="240" w:lineRule="auto"/>
              <w:jc w:val="center"/>
              <w:rPr>
                <w:rFonts w:hint="eastAsia" w:eastAsia="仿宋"/>
                <w:color w:val="000000"/>
                <w:kern w:val="0"/>
                <w:sz w:val="24"/>
              </w:rPr>
            </w:pPr>
            <w:r>
              <w:rPr>
                <w:rFonts w:hint="eastAsia" w:eastAsia="仿宋_GB2312" w:cs="仿宋_GB2312"/>
                <w:kern w:val="0"/>
                <w:sz w:val="24"/>
              </w:rPr>
              <w:t>（商品及金融衍生品类资产投资须符合监管要求）</w:t>
            </w:r>
          </w:p>
        </w:tc>
        <w:tc>
          <w:tcPr>
            <w:tcW w:w="2519" w:type="dxa"/>
            <w:tcBorders>
              <w:top w:val="outset" w:color="auto" w:sz="6" w:space="0"/>
              <w:left w:val="outset" w:color="auto" w:sz="6" w:space="0"/>
              <w:bottom w:val="outset" w:color="auto" w:sz="6" w:space="0"/>
              <w:right w:val="outset" w:color="auto" w:sz="6" w:space="0"/>
            </w:tcBorders>
            <w:vAlign w:val="center"/>
          </w:tcPr>
          <w:p>
            <w:pPr>
              <w:adjustRightInd w:val="0"/>
              <w:snapToGrid w:val="0"/>
              <w:spacing w:line="240" w:lineRule="auto"/>
              <w:jc w:val="center"/>
              <w:rPr>
                <w:rFonts w:eastAsia="仿宋"/>
                <w:color w:val="000000"/>
                <w:kern w:val="0"/>
                <w:sz w:val="24"/>
              </w:rPr>
            </w:pPr>
            <w:r>
              <w:rPr>
                <w:rFonts w:hint="eastAsia" w:ascii="仿宋" w:hAnsi="仿宋" w:eastAsia="仿宋" w:cs="宋体"/>
                <w:color w:val="000000"/>
                <w:kern w:val="0"/>
                <w:sz w:val="24"/>
              </w:rPr>
              <w:t>0%-5%</w:t>
            </w:r>
          </w:p>
        </w:tc>
      </w:tr>
    </w:tbl>
    <w:p>
      <w:pPr>
        <w:widowControl/>
        <w:adjustRightInd w:val="0"/>
        <w:snapToGrid w:val="0"/>
        <w:spacing w:line="276" w:lineRule="auto"/>
        <w:ind w:firstLine="480" w:firstLineChars="200"/>
        <w:contextualSpacing/>
        <w:jc w:val="left"/>
        <w:rPr>
          <w:rFonts w:ascii="仿宋" w:hAnsi="仿宋" w:eastAsia="仿宋" w:cs="宋体"/>
          <w:color w:val="000000"/>
          <w:kern w:val="0"/>
          <w:sz w:val="24"/>
        </w:rPr>
      </w:pPr>
      <w:r>
        <w:rPr>
          <w:rFonts w:hint="eastAsia" w:ascii="仿宋" w:hAnsi="仿宋" w:eastAsia="仿宋" w:cs="宋体"/>
          <w:color w:val="000000"/>
          <w:kern w:val="0"/>
          <w:sz w:val="24"/>
        </w:rPr>
        <w:t>本理财产品可以按照监管部门相关规定开展回购业务。</w:t>
      </w:r>
    </w:p>
    <w:p>
      <w:pPr>
        <w:widowControl/>
        <w:adjustRightInd w:val="0"/>
        <w:snapToGrid w:val="0"/>
        <w:spacing w:line="276" w:lineRule="auto"/>
        <w:ind w:firstLine="480" w:firstLineChars="200"/>
        <w:contextualSpacing/>
        <w:rPr>
          <w:rFonts w:ascii="仿宋" w:hAnsi="仿宋" w:eastAsia="仿宋" w:cs="宋体"/>
          <w:kern w:val="0"/>
          <w:sz w:val="24"/>
        </w:rPr>
      </w:pP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合作机构：</w:t>
      </w:r>
      <w:r>
        <w:rPr>
          <w:rFonts w:hint="eastAsia" w:ascii="仿宋" w:hAnsi="仿宋" w:eastAsia="仿宋" w:cs="宋体"/>
          <w:kern w:val="0"/>
          <w:sz w:val="24"/>
        </w:rPr>
        <w:t>本理财产品在运作过程中可根据需要选择投资合作机构，投资合作机构指理财产品所投资资产管理产品的发行机构、根据合同约定从事理财产品受托投资的机构以及与理财产品投资管理相关的投资顾问等机构。投资合作机构的主要职责为进行受托资金的投资管理，根据合同约定从事受托投资或提供投资顾问等服务，具体职责以管理人与投资合作机构签署的合同为准。</w:t>
      </w: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p>
    <w:p>
      <w:pPr>
        <w:widowControl/>
        <w:adjustRightInd w:val="0"/>
        <w:snapToGrid w:val="0"/>
        <w:spacing w:line="276" w:lineRule="auto"/>
        <w:ind w:firstLine="482" w:firstLineChars="200"/>
        <w:contextualSpacing/>
        <w:rPr>
          <w:rFonts w:ascii="仿宋" w:hAnsi="仿宋" w:eastAsia="仿宋" w:cs="宋体"/>
          <w:b/>
          <w:color w:val="000000"/>
          <w:kern w:val="0"/>
          <w:sz w:val="24"/>
        </w:rPr>
      </w:pPr>
      <w:r>
        <w:rPr>
          <w:rFonts w:hint="eastAsia" w:ascii="仿宋" w:hAnsi="仿宋" w:eastAsia="仿宋" w:cs="宋体"/>
          <w:b/>
          <w:bCs/>
          <w:color w:val="000000"/>
          <w:kern w:val="0"/>
          <w:sz w:val="24"/>
        </w:rPr>
        <w:t>如资产类别及投资比例发生调整，管理人将于调整事项生效前</w:t>
      </w:r>
      <w:r>
        <w:rPr>
          <w:rFonts w:ascii="仿宋" w:hAnsi="仿宋" w:eastAsia="仿宋" w:cs="宋体"/>
          <w:b/>
          <w:bCs/>
          <w:color w:val="000000"/>
          <w:kern w:val="0"/>
          <w:sz w:val="24"/>
        </w:rPr>
        <w:t>3</w:t>
      </w:r>
      <w:r>
        <w:rPr>
          <w:rFonts w:hint="eastAsia" w:ascii="仿宋" w:hAnsi="仿宋" w:eastAsia="仿宋" w:cs="宋体"/>
          <w:b/>
          <w:bCs/>
          <w:color w:val="000000"/>
          <w:kern w:val="0"/>
          <w:sz w:val="24"/>
        </w:rPr>
        <w:t>个工作日通过本产品说明书约定的信息披露渠道予以公告</w:t>
      </w:r>
      <w:r>
        <w:rPr>
          <w:rFonts w:hint="eastAsia" w:ascii="仿宋" w:hAnsi="仿宋" w:eastAsia="仿宋" w:cs="宋体"/>
          <w:color w:val="000000"/>
          <w:kern w:val="0"/>
          <w:sz w:val="24"/>
        </w:rPr>
        <w:t>。若本理财产品的投资人不接受上述调整，则应在公告规定时间内提前赎回本理财产品；</w:t>
      </w:r>
      <w:r>
        <w:rPr>
          <w:rFonts w:hint="eastAsia" w:ascii="仿宋" w:hAnsi="仿宋" w:eastAsia="仿宋" w:cs="宋体"/>
          <w:b/>
          <w:color w:val="000000"/>
          <w:kern w:val="0"/>
          <w:sz w:val="24"/>
        </w:rPr>
        <w:t>若本理财产品投资人未在公告规定时间内提前赎回本理财产品，则视为其对相关调整无异议且同意在调整后继续持有本理财产品。</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非因管理人主观因素导致本理财产品突破上述投资比例限制的，管理人应当在所投资的</w:t>
      </w:r>
      <w:r>
        <w:rPr>
          <w:rFonts w:hint="eastAsia" w:ascii="仿宋" w:hAnsi="仿宋" w:eastAsia="仿宋"/>
          <w:sz w:val="24"/>
        </w:rPr>
        <w:t>流动性受限资产可出售、可转让或者恢复交易的15</w:t>
      </w:r>
      <w:r>
        <w:rPr>
          <w:rFonts w:hint="eastAsia" w:ascii="仿宋" w:hAnsi="仿宋" w:eastAsia="仿宋" w:cs="宋体"/>
          <w:color w:val="000000"/>
          <w:kern w:val="0"/>
          <w:sz w:val="24"/>
        </w:rPr>
        <w:t>个工作日内将本理财产品所投资资产调整至上述投资比例范围内，监管规定的特殊情形除外。所称流动性受限资产，是指由于法律法规、监管、合同或操作障碍等原因无法以合理价格予以变现的资产，包括到期日在10个工作日以上的逆回购与银行定期存款（含协议约定有条件提前支取的银行存款）、距赎回日在10个工作日以上的资产管理产品、停牌股票、流通受限的新股及非公开发行股票、资产支持证券（票据），因发行人债务违约无法进行转让或交易的债券和非金融企业债务融资工具，以及其他流动性受限资产。</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三、理财产品管理人和托管</w:t>
      </w:r>
      <w:r>
        <w:rPr>
          <w:rFonts w:ascii="Times New Roman" w:eastAsia="黑体" w:cs="Times New Roman"/>
          <w:b/>
          <w:color w:val="auto"/>
        </w:rPr>
        <w:t>人</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（一）本理财产品管理人为华夏理财有限责任公司。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（二）</w:t>
      </w:r>
      <w:r>
        <w:rPr>
          <w:rFonts w:ascii="仿宋" w:hAnsi="仿宋" w:eastAsia="仿宋" w:cs="宋体"/>
          <w:color w:val="000000"/>
          <w:kern w:val="0"/>
          <w:sz w:val="24"/>
        </w:rPr>
        <w:t>本理财</w:t>
      </w:r>
      <w:r>
        <w:rPr>
          <w:rFonts w:hint="eastAsia" w:ascii="仿宋" w:hAnsi="仿宋" w:eastAsia="仿宋" w:cs="宋体"/>
          <w:color w:val="000000"/>
          <w:kern w:val="0"/>
          <w:sz w:val="24"/>
        </w:rPr>
        <w:t>产品托管人为华夏银行股份有限公司。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1.基本信息</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法定代表人：李民吉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注册地址：北京市东城区建国门内大街22号</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2.主要职责</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(1)安全保管理财产品财产；</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(2)为每只理财产品开设独立的托管账户，不同托管账户中的资产应当相互独立；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(3)按照托管协议约定和</w:t>
      </w:r>
      <w:bookmarkStart w:id="0" w:name="_Hlk76384476"/>
      <w:r>
        <w:rPr>
          <w:rFonts w:hint="eastAsia" w:ascii="仿宋" w:hAnsi="仿宋" w:eastAsia="仿宋" w:cs="宋体"/>
          <w:color w:val="000000"/>
          <w:kern w:val="0"/>
          <w:sz w:val="24"/>
        </w:rPr>
        <w:t>管理人</w:t>
      </w:r>
      <w:bookmarkEnd w:id="0"/>
      <w:r>
        <w:rPr>
          <w:rFonts w:hint="eastAsia" w:ascii="仿宋" w:hAnsi="仿宋" w:eastAsia="仿宋" w:cs="宋体"/>
          <w:color w:val="000000"/>
          <w:kern w:val="0"/>
          <w:sz w:val="24"/>
        </w:rPr>
        <w:t>的投资指令，及时办理清算、交割事宜；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(4)建立与管理人的对账机制，复核、审查理财产品资金头寸、资产账目、资产净值、认购和赎回价格等数据，及时核查认购、赎回以及投资资金的支付和到账情况；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(5)监督理财产品投资运作，发现理财产品违反法律、行政法规、规章规定或合同约定投资的，应当拒绝执行，及时通知管理人并报告银行业监督管理机构；</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(7)理财托管业务活动的记录、账册、报表和其他相关资料保存期限15年以上；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(8)对理财产品投资信息和相关资料承担保密责任，除法律、行政法规、规章规定、审计要求或者合同约定外，不得向任何机构或者个人提供相关信息和资料；</w:t>
      </w:r>
    </w:p>
    <w:p>
      <w:pPr>
        <w:widowControl/>
        <w:adjustRightInd w:val="0"/>
        <w:snapToGrid w:val="0"/>
        <w:spacing w:line="276" w:lineRule="auto"/>
        <w:ind w:firstLine="480" w:firstLineChars="200"/>
        <w:contextualSpacing/>
        <w:rPr>
          <w:rFonts w:eastAsia="黑体"/>
          <w:b/>
        </w:rPr>
      </w:pPr>
      <w:r>
        <w:rPr>
          <w:rFonts w:hint="eastAsia" w:ascii="仿宋" w:hAnsi="仿宋" w:eastAsia="仿宋" w:cs="宋体"/>
          <w:color w:val="000000"/>
          <w:kern w:val="0"/>
          <w:sz w:val="24"/>
        </w:rPr>
        <w:t>(9)银行业监督管理机构规定的其他职责。</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四</w:t>
      </w:r>
      <w:r>
        <w:rPr>
          <w:rFonts w:ascii="Times New Roman" w:eastAsia="黑体" w:cs="Times New Roman"/>
          <w:b/>
          <w:color w:val="auto"/>
        </w:rPr>
        <w:t>、理财产品</w:t>
      </w:r>
      <w:r>
        <w:rPr>
          <w:rFonts w:hint="eastAsia" w:ascii="Times New Roman" w:eastAsia="黑体" w:cs="Times New Roman"/>
          <w:b/>
          <w:color w:val="auto"/>
        </w:rPr>
        <w:t>份额净值</w:t>
      </w:r>
      <w:r>
        <w:rPr>
          <w:rFonts w:ascii="Times New Roman" w:eastAsia="黑体" w:cs="Times New Roman"/>
          <w:b/>
          <w:color w:val="auto"/>
        </w:rPr>
        <w:t>的计算</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理财产品</w:t>
      </w:r>
      <w:r>
        <w:rPr>
          <w:rFonts w:hint="eastAsia" w:ascii="仿宋" w:hAnsi="仿宋" w:eastAsia="仿宋" w:cs="宋体"/>
          <w:color w:val="000000"/>
          <w:kern w:val="0"/>
          <w:sz w:val="24"/>
        </w:rPr>
        <w:t>份额净值</w:t>
      </w:r>
      <w:r>
        <w:rPr>
          <w:rFonts w:ascii="仿宋" w:hAnsi="仿宋" w:eastAsia="仿宋" w:cs="宋体"/>
          <w:color w:val="000000"/>
          <w:kern w:val="0"/>
          <w:sz w:val="24"/>
        </w:rPr>
        <w:t>＝理财产品</w:t>
      </w:r>
      <w:r>
        <w:rPr>
          <w:rFonts w:hint="eastAsia" w:ascii="仿宋" w:hAnsi="仿宋" w:eastAsia="仿宋" w:cs="宋体"/>
          <w:color w:val="000000"/>
          <w:kern w:val="0"/>
          <w:sz w:val="24"/>
        </w:rPr>
        <w:t>资产</w:t>
      </w:r>
      <w:r>
        <w:rPr>
          <w:rFonts w:ascii="仿宋" w:hAnsi="仿宋" w:eastAsia="仿宋" w:cs="宋体"/>
          <w:color w:val="000000"/>
          <w:kern w:val="0"/>
          <w:sz w:val="24"/>
        </w:rPr>
        <w:t>净值/理财产品份额</w:t>
      </w:r>
      <w:r>
        <w:rPr>
          <w:rFonts w:hint="eastAsia" w:ascii="仿宋" w:hAnsi="仿宋" w:eastAsia="仿宋" w:cs="宋体"/>
          <w:color w:val="000000"/>
          <w:kern w:val="0"/>
          <w:sz w:val="24"/>
        </w:rPr>
        <w:t>。</w:t>
      </w:r>
    </w:p>
    <w:p>
      <w:pPr>
        <w:widowControl/>
        <w:adjustRightInd w:val="0"/>
        <w:snapToGrid w:val="0"/>
        <w:spacing w:line="276" w:lineRule="auto"/>
        <w:ind w:firstLine="480" w:firstLineChars="200"/>
        <w:contextualSpacing/>
        <w:rPr>
          <w:rFonts w:eastAsia="黑体"/>
          <w:b/>
        </w:rPr>
      </w:pPr>
      <w:r>
        <w:rPr>
          <w:rFonts w:ascii="仿宋" w:hAnsi="仿宋" w:eastAsia="仿宋" w:cs="宋体"/>
          <w:color w:val="000000"/>
          <w:kern w:val="0"/>
          <w:sz w:val="24"/>
        </w:rPr>
        <w:t>理财产品</w:t>
      </w:r>
      <w:r>
        <w:rPr>
          <w:rFonts w:hint="eastAsia" w:ascii="仿宋" w:hAnsi="仿宋" w:eastAsia="仿宋" w:cs="宋体"/>
          <w:color w:val="000000"/>
          <w:kern w:val="0"/>
          <w:sz w:val="24"/>
        </w:rPr>
        <w:t>份额净值</w:t>
      </w:r>
      <w:r>
        <w:rPr>
          <w:rFonts w:ascii="仿宋" w:hAnsi="仿宋" w:eastAsia="仿宋" w:cs="宋体"/>
          <w:color w:val="000000"/>
          <w:kern w:val="0"/>
          <w:sz w:val="24"/>
        </w:rPr>
        <w:t>为提取相关费用后的</w:t>
      </w:r>
      <w:r>
        <w:rPr>
          <w:rFonts w:hint="eastAsia" w:ascii="仿宋" w:hAnsi="仿宋" w:eastAsia="仿宋" w:cs="宋体"/>
          <w:color w:val="000000"/>
          <w:kern w:val="0"/>
          <w:sz w:val="24"/>
        </w:rPr>
        <w:t>份额净值</w:t>
      </w:r>
      <w:r>
        <w:rPr>
          <w:rFonts w:ascii="仿宋" w:hAnsi="仿宋" w:eastAsia="仿宋" w:cs="宋体"/>
          <w:color w:val="000000"/>
          <w:kern w:val="0"/>
          <w:sz w:val="24"/>
        </w:rPr>
        <w:t>，投资者按</w:t>
      </w:r>
      <w:r>
        <w:rPr>
          <w:rFonts w:hint="eastAsia" w:ascii="仿宋" w:hAnsi="仿宋" w:eastAsia="仿宋" w:cs="宋体"/>
          <w:color w:val="000000"/>
          <w:kern w:val="0"/>
          <w:sz w:val="24"/>
        </w:rPr>
        <w:t>该份额净值</w:t>
      </w:r>
      <w:r>
        <w:rPr>
          <w:rFonts w:ascii="仿宋" w:hAnsi="仿宋" w:eastAsia="仿宋" w:cs="宋体"/>
          <w:color w:val="000000"/>
          <w:kern w:val="0"/>
          <w:sz w:val="24"/>
        </w:rPr>
        <w:t>申购、赎回和</w:t>
      </w:r>
      <w:r>
        <w:rPr>
          <w:rFonts w:hint="eastAsia" w:ascii="仿宋" w:hAnsi="仿宋" w:eastAsia="仿宋" w:cs="宋体"/>
          <w:color w:val="000000"/>
          <w:kern w:val="0"/>
          <w:sz w:val="24"/>
        </w:rPr>
        <w:t>到期/</w:t>
      </w:r>
      <w:r>
        <w:rPr>
          <w:rFonts w:ascii="仿宋" w:hAnsi="仿宋" w:eastAsia="仿宋" w:cs="宋体"/>
          <w:color w:val="000000"/>
          <w:kern w:val="0"/>
          <w:sz w:val="24"/>
        </w:rPr>
        <w:t>终止。</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五</w:t>
      </w:r>
      <w:r>
        <w:rPr>
          <w:rFonts w:ascii="Times New Roman" w:eastAsia="黑体" w:cs="Times New Roman"/>
          <w:b/>
          <w:color w:val="auto"/>
        </w:rPr>
        <w:t>、认购</w:t>
      </w:r>
      <w:r>
        <w:rPr>
          <w:rFonts w:hint="eastAsia" w:ascii="Times New Roman" w:eastAsia="黑体" w:cs="Times New Roman"/>
          <w:b/>
          <w:color w:val="auto"/>
        </w:rPr>
        <w:t>、申购、赎回</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kern w:val="0"/>
          <w:sz w:val="24"/>
        </w:rPr>
        <w:t>（一）认购、申购、赎回交易渠道和规定</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通过华夏理财购买的，</w:t>
      </w:r>
      <w:r>
        <w:rPr>
          <w:rFonts w:ascii="仿宋" w:hAnsi="仿宋" w:eastAsia="仿宋" w:cs="宋体"/>
          <w:kern w:val="0"/>
          <w:sz w:val="24"/>
        </w:rPr>
        <w:t>投资者可通过</w:t>
      </w:r>
      <w:r>
        <w:rPr>
          <w:rFonts w:hint="eastAsia" w:ascii="仿宋" w:hAnsi="仿宋" w:eastAsia="仿宋" w:cs="宋体"/>
          <w:kern w:val="0"/>
          <w:sz w:val="24"/>
        </w:rPr>
        <w:t>华夏理财直销</w:t>
      </w:r>
      <w:r>
        <w:rPr>
          <w:rFonts w:ascii="仿宋" w:hAnsi="仿宋" w:eastAsia="仿宋" w:cs="宋体"/>
          <w:kern w:val="0"/>
          <w:sz w:val="24"/>
        </w:rPr>
        <w:t>柜台</w:t>
      </w:r>
      <w:r>
        <w:rPr>
          <w:rFonts w:hint="eastAsia" w:ascii="仿宋" w:hAnsi="仿宋" w:eastAsia="仿宋" w:cs="宋体"/>
          <w:kern w:val="0"/>
          <w:sz w:val="24"/>
        </w:rPr>
        <w:t>及电子渠道</w:t>
      </w:r>
      <w:r>
        <w:rPr>
          <w:rFonts w:ascii="仿宋" w:hAnsi="仿宋" w:eastAsia="仿宋" w:cs="宋体"/>
          <w:kern w:val="0"/>
          <w:sz w:val="24"/>
        </w:rPr>
        <w:t>发起</w:t>
      </w:r>
      <w:r>
        <w:rPr>
          <w:rFonts w:hint="eastAsia" w:ascii="仿宋" w:hAnsi="仿宋" w:eastAsia="仿宋" w:cs="宋体"/>
          <w:kern w:val="0"/>
          <w:sz w:val="24"/>
        </w:rPr>
        <w:t>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ascii="仿宋" w:hAnsi="仿宋" w:eastAsia="仿宋" w:cs="宋体"/>
          <w:kern w:val="0"/>
          <w:sz w:val="24"/>
        </w:rPr>
        <w:t>申请</w:t>
      </w:r>
      <w:r>
        <w:rPr>
          <w:rFonts w:hint="eastAsia" w:ascii="仿宋" w:hAnsi="仿宋" w:eastAsia="仿宋" w:cs="宋体"/>
          <w:kern w:val="0"/>
          <w:sz w:val="24"/>
        </w:rPr>
        <w:t>；通过华夏银行购买的，</w:t>
      </w:r>
      <w:r>
        <w:rPr>
          <w:rFonts w:ascii="仿宋" w:hAnsi="仿宋" w:eastAsia="仿宋" w:cs="宋体"/>
          <w:kern w:val="0"/>
          <w:sz w:val="24"/>
        </w:rPr>
        <w:t>投资者可通过</w:t>
      </w:r>
      <w:r>
        <w:rPr>
          <w:rFonts w:hint="eastAsia" w:ascii="仿宋" w:hAnsi="仿宋" w:eastAsia="仿宋" w:cs="宋体"/>
          <w:kern w:val="0"/>
          <w:sz w:val="24"/>
        </w:rPr>
        <w:t>华夏银行</w:t>
      </w:r>
      <w:r>
        <w:rPr>
          <w:rFonts w:hint="eastAsia" w:ascii="仿宋" w:hAnsi="仿宋" w:eastAsia="仿宋"/>
          <w:sz w:val="24"/>
        </w:rPr>
        <w:t>柜台、手机银行、网上银行等渠道</w:t>
      </w:r>
      <w:r>
        <w:rPr>
          <w:rFonts w:ascii="仿宋" w:hAnsi="仿宋" w:eastAsia="仿宋" w:cs="宋体"/>
          <w:kern w:val="0"/>
          <w:sz w:val="24"/>
        </w:rPr>
        <w:t>发起</w:t>
      </w:r>
      <w:r>
        <w:rPr>
          <w:rFonts w:hint="eastAsia" w:ascii="仿宋" w:hAnsi="仿宋" w:eastAsia="仿宋" w:cs="宋体"/>
          <w:kern w:val="0"/>
          <w:sz w:val="24"/>
        </w:rPr>
        <w:t>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ascii="仿宋" w:hAnsi="仿宋" w:eastAsia="仿宋" w:cs="宋体"/>
          <w:kern w:val="0"/>
          <w:sz w:val="24"/>
        </w:rPr>
        <w:t>申请</w:t>
      </w:r>
      <w:r>
        <w:rPr>
          <w:rFonts w:hint="eastAsia" w:ascii="仿宋" w:hAnsi="仿宋" w:eastAsia="仿宋" w:cs="宋体"/>
          <w:kern w:val="0"/>
          <w:sz w:val="24"/>
        </w:rPr>
        <w:t>；通过代销机构购买的，认购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hint="eastAsia" w:ascii="仿宋" w:hAnsi="仿宋" w:eastAsia="仿宋" w:cs="宋体"/>
          <w:kern w:val="0"/>
          <w:sz w:val="24"/>
        </w:rPr>
        <w:t>渠道以代销机构规定为准</w:t>
      </w:r>
      <w:r>
        <w:rPr>
          <w:rFonts w:ascii="仿宋" w:hAnsi="仿宋" w:eastAsia="仿宋" w:cs="宋体"/>
          <w:kern w:val="0"/>
          <w:sz w:val="24"/>
        </w:rPr>
        <w:t>。</w:t>
      </w:r>
    </w:p>
    <w:p>
      <w:pPr>
        <w:widowControl/>
        <w:adjustRightInd w:val="0"/>
        <w:snapToGrid w:val="0"/>
        <w:spacing w:line="276" w:lineRule="auto"/>
        <w:ind w:firstLine="482" w:firstLineChars="200"/>
        <w:contextualSpacing/>
        <w:rPr>
          <w:rFonts w:ascii="仿宋" w:hAnsi="仿宋" w:eastAsia="仿宋" w:cs="宋体"/>
          <w:kern w:val="0"/>
          <w:sz w:val="24"/>
        </w:rPr>
      </w:pPr>
      <w:r>
        <w:rPr>
          <w:rFonts w:ascii="仿宋" w:hAnsi="仿宋" w:eastAsia="仿宋" w:cs="宋体"/>
          <w:b/>
          <w:bCs/>
          <w:color w:val="000000"/>
          <w:kern w:val="0"/>
          <w:sz w:val="24"/>
        </w:rPr>
        <w:t>2</w:t>
      </w:r>
      <w:r>
        <w:rPr>
          <w:rFonts w:hint="eastAsia" w:ascii="仿宋" w:hAnsi="仿宋" w:eastAsia="仿宋" w:cs="宋体"/>
          <w:b/>
          <w:bCs/>
          <w:color w:val="000000"/>
          <w:kern w:val="0"/>
          <w:sz w:val="24"/>
        </w:rPr>
        <w:t>．</w:t>
      </w:r>
      <w:r>
        <w:rPr>
          <w:rFonts w:hint="eastAsia" w:ascii="仿宋" w:hAnsi="仿宋" w:eastAsia="仿宋" w:cs="宋体"/>
          <w:b/>
          <w:bCs/>
          <w:kern w:val="0"/>
          <w:sz w:val="24"/>
        </w:rPr>
        <w:t>本</w:t>
      </w:r>
      <w:r>
        <w:rPr>
          <w:rFonts w:hint="eastAsia" w:ascii="仿宋" w:hAnsi="仿宋" w:eastAsia="仿宋" w:cs="宋体"/>
          <w:b/>
          <w:bCs/>
          <w:color w:val="000000"/>
          <w:kern w:val="0"/>
          <w:sz w:val="24"/>
        </w:rPr>
        <w:t>理财</w:t>
      </w:r>
      <w:r>
        <w:rPr>
          <w:rFonts w:hint="eastAsia" w:ascii="仿宋" w:hAnsi="仿宋" w:eastAsia="仿宋" w:cs="宋体"/>
          <w:b/>
          <w:bCs/>
          <w:kern w:val="0"/>
          <w:sz w:val="24"/>
        </w:rPr>
        <w:t>产品单一投资者持有</w:t>
      </w:r>
      <w:r>
        <w:rPr>
          <w:rFonts w:hint="eastAsia" w:ascii="仿宋" w:hAnsi="仿宋" w:eastAsia="仿宋" w:cs="宋体"/>
          <w:b/>
          <w:bCs/>
          <w:color w:val="000000"/>
          <w:kern w:val="0"/>
          <w:sz w:val="24"/>
        </w:rPr>
        <w:t>产品</w:t>
      </w:r>
      <w:r>
        <w:rPr>
          <w:rFonts w:hint="eastAsia" w:ascii="仿宋" w:hAnsi="仿宋" w:eastAsia="仿宋" w:cs="宋体"/>
          <w:b/>
          <w:bCs/>
          <w:kern w:val="0"/>
          <w:sz w:val="24"/>
        </w:rPr>
        <w:t>份额数不得超过</w:t>
      </w:r>
      <w:r>
        <w:rPr>
          <w:rFonts w:hint="eastAsia" w:ascii="仿宋" w:hAnsi="仿宋" w:eastAsia="仿宋" w:cs="宋体"/>
          <w:b/>
          <w:bCs/>
          <w:color w:val="000000"/>
          <w:kern w:val="0"/>
          <w:sz w:val="24"/>
        </w:rPr>
        <w:t>产品</w:t>
      </w:r>
      <w:r>
        <w:rPr>
          <w:rFonts w:hint="eastAsia" w:ascii="仿宋" w:hAnsi="仿宋" w:eastAsia="仿宋" w:cs="宋体"/>
          <w:b/>
          <w:bCs/>
          <w:kern w:val="0"/>
          <w:sz w:val="24"/>
        </w:rPr>
        <w:t>份额总数的 50%。非因</w:t>
      </w:r>
      <w:r>
        <w:rPr>
          <w:rFonts w:ascii="仿宋" w:hAnsi="仿宋" w:eastAsia="仿宋" w:cs="宋体"/>
          <w:b/>
          <w:bCs/>
          <w:kern w:val="0"/>
          <w:sz w:val="24"/>
        </w:rPr>
        <w:t>管理人</w:t>
      </w:r>
      <w:r>
        <w:rPr>
          <w:rFonts w:hint="eastAsia" w:ascii="仿宋" w:hAnsi="仿宋" w:eastAsia="仿宋" w:cs="宋体"/>
          <w:b/>
          <w:bCs/>
          <w:kern w:val="0"/>
          <w:sz w:val="24"/>
        </w:rPr>
        <w:t>主观因素导致突破前款规定比例限制的，在单一投资者持有比例降至50%以下之前，</w:t>
      </w:r>
      <w:r>
        <w:rPr>
          <w:rFonts w:ascii="仿宋" w:hAnsi="仿宋" w:eastAsia="仿宋" w:cs="宋体"/>
          <w:b/>
          <w:bCs/>
          <w:kern w:val="0"/>
          <w:sz w:val="24"/>
        </w:rPr>
        <w:t>管理人将</w:t>
      </w:r>
      <w:r>
        <w:rPr>
          <w:rFonts w:hint="eastAsia" w:ascii="仿宋" w:hAnsi="仿宋" w:eastAsia="仿宋" w:cs="宋体"/>
          <w:b/>
          <w:bCs/>
          <w:kern w:val="0"/>
          <w:sz w:val="24"/>
        </w:rPr>
        <w:t>不再接受该单一投资者对本</w:t>
      </w:r>
      <w:r>
        <w:rPr>
          <w:rFonts w:hint="eastAsia" w:ascii="仿宋" w:hAnsi="仿宋" w:eastAsia="仿宋" w:cs="宋体"/>
          <w:b/>
          <w:bCs/>
          <w:color w:val="000000"/>
          <w:kern w:val="0"/>
          <w:sz w:val="24"/>
        </w:rPr>
        <w:t>理财</w:t>
      </w:r>
      <w:r>
        <w:rPr>
          <w:rFonts w:hint="eastAsia" w:ascii="仿宋" w:hAnsi="仿宋" w:eastAsia="仿宋" w:cs="宋体"/>
          <w:b/>
          <w:bCs/>
          <w:kern w:val="0"/>
          <w:sz w:val="24"/>
        </w:rPr>
        <w:t>产品的认、</w:t>
      </w:r>
      <w:r>
        <w:rPr>
          <w:rFonts w:ascii="仿宋" w:hAnsi="仿宋" w:eastAsia="仿宋" w:cs="宋体"/>
          <w:b/>
          <w:bCs/>
          <w:kern w:val="0"/>
          <w:sz w:val="24"/>
        </w:rPr>
        <w:t>申</w:t>
      </w:r>
      <w:r>
        <w:rPr>
          <w:rFonts w:hint="eastAsia" w:ascii="仿宋" w:hAnsi="仿宋" w:eastAsia="仿宋" w:cs="宋体"/>
          <w:b/>
          <w:bCs/>
          <w:kern w:val="0"/>
          <w:sz w:val="24"/>
        </w:rPr>
        <w:t>购申请。</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法律法规、监管部门另有规定的，从其规定。</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hint="eastAsia" w:ascii="仿宋" w:hAnsi="仿宋" w:eastAsia="仿宋" w:cs="宋体"/>
          <w:kern w:val="0"/>
          <w:sz w:val="24"/>
        </w:rPr>
        <w:t>（二）拒绝或暂停</w:t>
      </w:r>
      <w:r>
        <w:rPr>
          <w:rFonts w:hint="eastAsia" w:ascii="仿宋" w:hAnsi="仿宋" w:eastAsia="仿宋" w:cs="宋体"/>
          <w:color w:val="000000"/>
          <w:kern w:val="0"/>
          <w:sz w:val="24"/>
        </w:rPr>
        <w:t>认（申）</w:t>
      </w:r>
      <w:r>
        <w:rPr>
          <w:rFonts w:hint="eastAsia" w:ascii="仿宋" w:hAnsi="仿宋" w:eastAsia="仿宋" w:cs="宋体"/>
          <w:kern w:val="0"/>
          <w:sz w:val="24"/>
        </w:rPr>
        <w:t>购的情形</w:t>
      </w: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发生下列情况之一时，</w:t>
      </w:r>
      <w:r>
        <w:rPr>
          <w:rFonts w:ascii="仿宋" w:hAnsi="仿宋" w:eastAsia="仿宋" w:cs="宋体"/>
          <w:b/>
          <w:bCs/>
          <w:kern w:val="0"/>
          <w:sz w:val="24"/>
        </w:rPr>
        <w:t>管理人</w:t>
      </w:r>
      <w:r>
        <w:rPr>
          <w:rFonts w:hint="eastAsia" w:ascii="仿宋" w:hAnsi="仿宋" w:eastAsia="仿宋" w:cs="宋体"/>
          <w:b/>
          <w:bCs/>
          <w:kern w:val="0"/>
          <w:sz w:val="24"/>
        </w:rPr>
        <w:t>可以</w:t>
      </w:r>
      <w:r>
        <w:rPr>
          <w:rFonts w:hint="eastAsia" w:ascii="仿宋" w:hAnsi="仿宋" w:eastAsia="仿宋" w:cs="宋体"/>
          <w:b/>
          <w:bCs/>
          <w:color w:val="000000"/>
          <w:kern w:val="0"/>
          <w:sz w:val="24"/>
        </w:rPr>
        <w:t>采取认（申）购风险应对措施，</w:t>
      </w:r>
      <w:r>
        <w:rPr>
          <w:rFonts w:hint="eastAsia" w:ascii="仿宋" w:hAnsi="仿宋" w:eastAsia="仿宋" w:cs="宋体"/>
          <w:b/>
          <w:bCs/>
          <w:kern w:val="0"/>
          <w:sz w:val="24"/>
        </w:rPr>
        <w:t>拒绝或暂停接受</w:t>
      </w:r>
      <w:r>
        <w:rPr>
          <w:rFonts w:hint="eastAsia" w:ascii="仿宋" w:hAnsi="仿宋" w:eastAsia="仿宋" w:cs="宋体"/>
          <w:b/>
          <w:bCs/>
          <w:color w:val="000000"/>
          <w:kern w:val="0"/>
          <w:sz w:val="24"/>
        </w:rPr>
        <w:t>认（申）</w:t>
      </w:r>
      <w:r>
        <w:rPr>
          <w:rFonts w:hint="eastAsia" w:ascii="仿宋" w:hAnsi="仿宋" w:eastAsia="仿宋" w:cs="宋体"/>
          <w:b/>
          <w:bCs/>
          <w:kern w:val="0"/>
          <w:sz w:val="24"/>
        </w:rPr>
        <w:t>购申请</w:t>
      </w:r>
      <w:r>
        <w:rPr>
          <w:rFonts w:hint="eastAsia" w:ascii="仿宋" w:hAnsi="仿宋" w:eastAsia="仿宋" w:cs="宋体"/>
          <w:b/>
          <w:bCs/>
          <w:color w:val="000000"/>
          <w:kern w:val="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1．因不可抗力导致理财</w:t>
      </w:r>
      <w:r>
        <w:rPr>
          <w:rFonts w:ascii="仿宋" w:hAnsi="仿宋" w:eastAsia="仿宋" w:cs="宋体"/>
          <w:color w:val="000000"/>
          <w:kern w:val="0"/>
          <w:sz w:val="24"/>
        </w:rPr>
        <w:t>产品</w:t>
      </w:r>
      <w:r>
        <w:rPr>
          <w:rFonts w:hint="eastAsia" w:ascii="仿宋" w:hAnsi="仿宋" w:eastAsia="仿宋" w:cs="宋体"/>
          <w:color w:val="000000"/>
          <w:kern w:val="0"/>
          <w:sz w:val="24"/>
        </w:rPr>
        <w:t>无法正常运作。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2．发生本产品说明书约定的暂停估值情况。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3．接受认（申）购申请可能对存量投资者利益构成重大不利影响。</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4．认购/申购日理财产品实时余额已达到规模上限。</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5．基于理财产品投资运作与风险控制需要。</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6.认（申）购申请超过说明书约定的单一投资者认（申）购金额上限、或超过理财产品单日净认（申）购比例上限。</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7.接受认（申）购申请有可能导致单一投资者持有份额的比例超过产品</w:t>
      </w:r>
      <w:r>
        <w:rPr>
          <w:rFonts w:hint="eastAsia" w:ascii="仿宋" w:hAnsi="仿宋" w:eastAsia="仿宋" w:cs="宋体"/>
          <w:kern w:val="0"/>
          <w:sz w:val="24"/>
        </w:rPr>
        <w:t>份额总数的</w:t>
      </w:r>
      <w:r>
        <w:rPr>
          <w:rFonts w:hint="eastAsia" w:ascii="仿宋" w:hAnsi="仿宋" w:eastAsia="仿宋" w:cs="宋体"/>
          <w:color w:val="000000"/>
          <w:kern w:val="0"/>
          <w:sz w:val="24"/>
        </w:rPr>
        <w:t>50%，或者出现变相规避50%集中度限制的情形。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8</w:t>
      </w:r>
      <w:r>
        <w:rPr>
          <w:rFonts w:hint="eastAsia" w:ascii="仿宋" w:hAnsi="仿宋" w:eastAsia="仿宋" w:cs="宋体"/>
          <w:color w:val="000000"/>
          <w:kern w:val="0"/>
          <w:sz w:val="24"/>
        </w:rPr>
        <w:t>.法律法规规定或监管</w:t>
      </w:r>
      <w:r>
        <w:rPr>
          <w:rFonts w:ascii="仿宋" w:hAnsi="仿宋" w:eastAsia="仿宋" w:cs="宋体"/>
          <w:color w:val="000000"/>
          <w:kern w:val="0"/>
          <w:sz w:val="24"/>
        </w:rPr>
        <w:t>机构</w:t>
      </w:r>
      <w:r>
        <w:rPr>
          <w:rFonts w:hint="eastAsia" w:ascii="仿宋" w:hAnsi="仿宋" w:eastAsia="仿宋" w:cs="宋体"/>
          <w:color w:val="000000"/>
          <w:kern w:val="0"/>
          <w:sz w:val="24"/>
        </w:rPr>
        <w:t>认定的其他情形。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如果投资人的认（申）购申请被全部或部分拒绝的，被拒绝的认（申）购款项将退还给投资人。在暂停认（申）购的情况消除时，</w:t>
      </w:r>
      <w:r>
        <w:rPr>
          <w:rFonts w:ascii="仿宋" w:hAnsi="仿宋" w:eastAsia="仿宋" w:cs="宋体"/>
          <w:kern w:val="0"/>
          <w:sz w:val="24"/>
        </w:rPr>
        <w:t>管理人</w:t>
      </w:r>
      <w:r>
        <w:rPr>
          <w:rFonts w:hint="eastAsia" w:ascii="仿宋" w:hAnsi="仿宋" w:eastAsia="仿宋" w:cs="宋体"/>
          <w:color w:val="000000"/>
          <w:kern w:val="0"/>
          <w:sz w:val="24"/>
        </w:rPr>
        <w:t>将及时恢复办理业务。</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kern w:val="0"/>
          <w:sz w:val="24"/>
        </w:rPr>
        <w:t>（三）暂停赎回或延缓支付赎回款项的情形</w:t>
      </w: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在发生下列情形之一时，</w:t>
      </w:r>
      <w:r>
        <w:rPr>
          <w:rFonts w:ascii="仿宋" w:hAnsi="仿宋" w:eastAsia="仿宋" w:cs="宋体"/>
          <w:b/>
          <w:bCs/>
          <w:kern w:val="0"/>
          <w:sz w:val="24"/>
        </w:rPr>
        <w:t>管理人</w:t>
      </w:r>
      <w:r>
        <w:rPr>
          <w:rFonts w:hint="eastAsia" w:ascii="仿宋" w:hAnsi="仿宋" w:eastAsia="仿宋" w:cs="宋体"/>
          <w:b/>
          <w:bCs/>
          <w:kern w:val="0"/>
          <w:sz w:val="24"/>
        </w:rPr>
        <w:t>可以采取</w:t>
      </w:r>
      <w:r>
        <w:rPr>
          <w:rFonts w:hint="eastAsia" w:ascii="仿宋" w:hAnsi="仿宋" w:eastAsia="仿宋" w:cs="宋体"/>
          <w:b/>
          <w:bCs/>
          <w:color w:val="000000"/>
          <w:kern w:val="0"/>
          <w:sz w:val="24"/>
        </w:rPr>
        <w:t>赎回流动性风险应对措施，包括</w:t>
      </w:r>
      <w:r>
        <w:rPr>
          <w:rFonts w:ascii="仿宋" w:hAnsi="仿宋" w:eastAsia="仿宋" w:cs="宋体"/>
          <w:b/>
          <w:bCs/>
          <w:color w:val="000000"/>
          <w:kern w:val="0"/>
          <w:sz w:val="24"/>
        </w:rPr>
        <w:t>但不限于</w:t>
      </w:r>
      <w:r>
        <w:rPr>
          <w:rFonts w:hint="eastAsia" w:ascii="仿宋" w:hAnsi="仿宋" w:eastAsia="仿宋" w:cs="宋体"/>
          <w:b/>
          <w:bCs/>
          <w:color w:val="000000"/>
          <w:kern w:val="0"/>
          <w:sz w:val="24"/>
        </w:rPr>
        <w:t>延期办理巨额赎回申请、暂停接受赎回申请、延缓支付赎回款项等：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1.因不可抗力导致</w:t>
      </w:r>
      <w:r>
        <w:rPr>
          <w:rFonts w:ascii="仿宋" w:hAnsi="仿宋" w:eastAsia="仿宋" w:cs="宋体"/>
          <w:kern w:val="0"/>
          <w:sz w:val="24"/>
        </w:rPr>
        <w:t>管理人</w:t>
      </w:r>
      <w:r>
        <w:rPr>
          <w:rFonts w:hint="eastAsia" w:ascii="仿宋" w:hAnsi="仿宋" w:eastAsia="仿宋" w:cs="宋体"/>
          <w:color w:val="000000"/>
          <w:kern w:val="0"/>
          <w:sz w:val="24"/>
        </w:rPr>
        <w:t>不能支付赎回款项。</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2.发生本产品说明书约定的暂停估值情形。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3</w:t>
      </w:r>
      <w:r>
        <w:rPr>
          <w:rFonts w:hint="eastAsia" w:ascii="仿宋" w:hAnsi="仿宋" w:eastAsia="仿宋" w:cs="宋体"/>
          <w:color w:val="000000"/>
          <w:kern w:val="0"/>
          <w:sz w:val="24"/>
        </w:rPr>
        <w:t>.发生巨额赎回。</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4</w:t>
      </w:r>
      <w:r>
        <w:rPr>
          <w:rFonts w:hint="eastAsia" w:ascii="仿宋" w:hAnsi="仿宋" w:eastAsia="仿宋" w:cs="宋体"/>
          <w:color w:val="000000"/>
          <w:kern w:val="0"/>
          <w:sz w:val="24"/>
        </w:rPr>
        <w:t>.连续2个以上开放日发生巨额赎回。</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bCs/>
          <w:color w:val="000000"/>
          <w:sz w:val="24"/>
        </w:rPr>
        <w:t>5.单个投资者在单个开放日的赎回超过说明书约定的赎回</w:t>
      </w:r>
      <w:r>
        <w:rPr>
          <w:rFonts w:ascii="仿宋" w:hAnsi="仿宋" w:eastAsia="仿宋"/>
          <w:bCs/>
          <w:color w:val="000000"/>
          <w:sz w:val="24"/>
        </w:rPr>
        <w:t>上限</w:t>
      </w:r>
      <w:r>
        <w:rPr>
          <w:rFonts w:hint="eastAsia" w:ascii="仿宋" w:hAnsi="仿宋" w:eastAsia="仿宋"/>
          <w:bCs/>
          <w:color w:val="00000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6.继续接受赎回申请可能对存量理财投资者利益构成潜在重大不利影响。</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7.法律法规规定或监管机构认定的其他情形。</w:t>
      </w:r>
    </w:p>
    <w:p>
      <w:pPr>
        <w:pStyle w:val="22"/>
        <w:snapToGrid w:val="0"/>
        <w:spacing w:after="156" w:afterLines="50" w:line="400" w:lineRule="exact"/>
        <w:ind w:firstLine="480" w:firstLineChars="200"/>
        <w:jc w:val="both"/>
        <w:rPr>
          <w:rFonts w:ascii="微软简仿宋" w:hAnsi="微软简仿宋" w:eastAsia="仿宋"/>
          <w:bCs/>
          <w:szCs w:val="21"/>
        </w:rPr>
      </w:pPr>
      <w:r>
        <w:rPr>
          <w:rFonts w:hint="eastAsia" w:ascii="仿宋" w:hAnsi="仿宋" w:eastAsia="仿宋"/>
        </w:rPr>
        <w:t>在暂停赎回的情形消除时，</w:t>
      </w:r>
      <w:r>
        <w:rPr>
          <w:rFonts w:ascii="仿宋" w:hAnsi="仿宋" w:eastAsia="仿宋"/>
        </w:rPr>
        <w:t>管理人</w:t>
      </w:r>
      <w:r>
        <w:rPr>
          <w:rFonts w:hint="eastAsia" w:ascii="仿宋" w:hAnsi="仿宋" w:eastAsia="仿宋"/>
        </w:rPr>
        <w:t>将及时恢复办理赎回业务并公告。</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六</w:t>
      </w:r>
      <w:r>
        <w:rPr>
          <w:rFonts w:ascii="Times New Roman" w:eastAsia="黑体" w:cs="Times New Roman"/>
          <w:b/>
          <w:color w:val="auto"/>
        </w:rPr>
        <w:t>、</w:t>
      </w:r>
      <w:r>
        <w:rPr>
          <w:rFonts w:hint="eastAsia" w:ascii="Times New Roman" w:eastAsia="黑体" w:cs="Times New Roman"/>
          <w:b/>
          <w:color w:val="auto"/>
        </w:rPr>
        <w:t>收益示例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例1：假设客户持有的本理财产品份额为200,000份，在开放日赎回100,000份，则：若根据前述超额管理费条款，管理人收取超额管理费，且扣除超额管理费后的产品开放日份额净值为1.1800，则客户获得的赎回金额为：100,000*1.1800=118,000.00元。</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若根据前述超额管理费条款，管理人不收取超额管理费，且产品开放日份额净值为1.0700，则客户获得的赎回金额为：100,000*1.0700=107,000.00元。</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若根据前述超额管理费条款，管理人不收取超额管理费，且产品开放日份额净值为0.9980，则客户获得赎回金额为：100,000*0.9980=99,800.00元。</w:t>
      </w:r>
    </w:p>
    <w:p>
      <w:pPr>
        <w:widowControl/>
        <w:adjustRightInd w:val="0"/>
        <w:snapToGrid w:val="0"/>
        <w:spacing w:line="276" w:lineRule="auto"/>
        <w:ind w:firstLine="480" w:firstLineChars="200"/>
        <w:contextualSpacing/>
        <w:rPr>
          <w:rFonts w:ascii="仿宋" w:hAnsi="仿宋" w:eastAsia="仿宋"/>
          <w:sz w:val="24"/>
        </w:rPr>
      </w:pPr>
      <w:r>
        <w:rPr>
          <w:rFonts w:hint="eastAsia" w:ascii="仿宋" w:hAnsi="仿宋" w:eastAsia="仿宋" w:cs="宋体"/>
          <w:color w:val="000000"/>
          <w:kern w:val="0"/>
          <w:sz w:val="24"/>
        </w:rPr>
        <w:t>例2：客户在本理财产品的开放日申请购买了100,000元的本理财产品，如购买当日产品的份额净值为1.0110，则该笔购买申请确认后，该笔购买申请对应的理财产品份额为：100,000/1.0110=98,911.9</w:t>
      </w:r>
      <w:r>
        <w:rPr>
          <w:rFonts w:ascii="仿宋" w:hAnsi="仿宋" w:eastAsia="仿宋" w:cs="宋体"/>
          <w:color w:val="000000"/>
          <w:kern w:val="0"/>
          <w:sz w:val="24"/>
        </w:rPr>
        <w:t>7</w:t>
      </w:r>
      <w:r>
        <w:rPr>
          <w:rFonts w:hint="eastAsia" w:ascii="仿宋" w:hAnsi="仿宋" w:eastAsia="仿宋" w:cs="宋体"/>
          <w:color w:val="000000"/>
          <w:kern w:val="0"/>
          <w:sz w:val="24"/>
        </w:rPr>
        <w:t>份</w:t>
      </w:r>
      <w:r>
        <w:rPr>
          <w:rFonts w:hint="eastAsia" w:ascii="仿宋" w:hAnsi="仿宋" w:eastAsia="仿宋"/>
          <w:b/>
          <w:bCs/>
          <w:sz w:val="24"/>
        </w:rPr>
        <w:t>。</w:t>
      </w:r>
    </w:p>
    <w:p>
      <w:pPr>
        <w:autoSpaceDE w:val="0"/>
        <w:autoSpaceDN w:val="0"/>
        <w:adjustRightInd w:val="0"/>
        <w:snapToGrid w:val="0"/>
        <w:spacing w:line="276" w:lineRule="auto"/>
        <w:ind w:firstLine="482" w:firstLineChars="200"/>
        <w:contextualSpacing/>
        <w:rPr>
          <w:rFonts w:eastAsia="黑体"/>
          <w:b/>
          <w:sz w:val="24"/>
        </w:rPr>
      </w:pPr>
      <w:r>
        <w:rPr>
          <w:rFonts w:hint="eastAsia" w:eastAsia="黑体"/>
          <w:b/>
          <w:sz w:val="24"/>
        </w:rPr>
        <w:t>上述理财产品收益分析及计算中所采用的全部为模拟数据，仅供参考，不代表本理财产品实际收益水平。收益示例不等于实际收益，投资须谨慎。</w:t>
      </w:r>
    </w:p>
    <w:p>
      <w:pPr>
        <w:autoSpaceDE w:val="0"/>
        <w:autoSpaceDN w:val="0"/>
        <w:adjustRightInd w:val="0"/>
        <w:snapToGrid w:val="0"/>
        <w:spacing w:line="276" w:lineRule="auto"/>
        <w:ind w:firstLine="482" w:firstLineChars="200"/>
        <w:contextualSpacing/>
        <w:rPr>
          <w:rFonts w:eastAsia="黑体"/>
          <w:b/>
          <w:sz w:val="24"/>
        </w:rPr>
      </w:pPr>
      <w:r>
        <w:rPr>
          <w:rFonts w:hint="eastAsia" w:eastAsia="黑体"/>
          <w:b/>
          <w:sz w:val="24"/>
        </w:rPr>
        <w:t>华夏理财郑重提示：本理财产品是非保本浮动收益净值型理财产品，不保证理财本金和收益。投资者的本金和收益可能会因市场变动等原因而蒙受损失。投资者应充分认识投资风险，谨慎投资。</w:t>
      </w:r>
    </w:p>
    <w:p>
      <w:pPr>
        <w:autoSpaceDE w:val="0"/>
        <w:autoSpaceDN w:val="0"/>
        <w:adjustRightInd w:val="0"/>
        <w:snapToGrid w:val="0"/>
        <w:spacing w:line="276" w:lineRule="auto"/>
        <w:ind w:firstLine="482" w:firstLineChars="200"/>
        <w:contextualSpacing/>
        <w:rPr>
          <w:rFonts w:eastAsia="黑体"/>
          <w:b/>
          <w:color w:val="000000"/>
          <w:sz w:val="24"/>
        </w:rPr>
      </w:pPr>
      <w:r>
        <w:rPr>
          <w:rFonts w:hint="eastAsia" w:eastAsia="黑体"/>
          <w:b/>
          <w:color w:val="000000"/>
          <w:sz w:val="24"/>
        </w:rPr>
        <w:t>最不利的投资情形：如果本理财产品投资组合内所配置资产发生损失，则投资者可能无法获得理财产品投资收益，甚至损失全部理财本金，投资者应在对此风险有充分认识基础上谨慎投资。</w:t>
      </w:r>
    </w:p>
    <w:p>
      <w:pPr>
        <w:autoSpaceDE w:val="0"/>
        <w:autoSpaceDN w:val="0"/>
        <w:adjustRightInd w:val="0"/>
        <w:snapToGrid w:val="0"/>
        <w:spacing w:line="276" w:lineRule="auto"/>
        <w:ind w:firstLine="482" w:firstLineChars="200"/>
        <w:contextualSpacing/>
        <w:rPr>
          <w:rFonts w:eastAsia="黑体"/>
          <w:b/>
        </w:rPr>
      </w:pPr>
      <w:r>
        <w:rPr>
          <w:rFonts w:hint="eastAsia" w:eastAsia="黑体"/>
          <w:b/>
          <w:color w:val="000000"/>
          <w:sz w:val="24"/>
        </w:rPr>
        <w:t>本产品说明书中的任何业绩比较基准、收益示例或类似表述均不具有法律约束力，不代表投资者可能获得的实际收益，亦不构成华夏理财/代销机构对本理财产品的任何收益承诺。</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七</w:t>
      </w:r>
      <w:r>
        <w:rPr>
          <w:rFonts w:ascii="Times New Roman" w:eastAsia="黑体" w:cs="Times New Roman"/>
          <w:b/>
          <w:color w:val="auto"/>
        </w:rPr>
        <w:t>、理财产品估值</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（一）估值对象</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本理财产品所投资的银行存款、货币市场工具、债券等标准化债权类资产以及资产管理产品等资产。</w:t>
      </w:r>
    </w:p>
    <w:p>
      <w:pPr>
        <w:pStyle w:val="22"/>
        <w:snapToGrid w:val="0"/>
        <w:spacing w:line="276" w:lineRule="auto"/>
        <w:ind w:firstLine="480" w:firstLineChars="200"/>
        <w:contextualSpacing/>
        <w:outlineLvl w:val="1"/>
        <w:rPr>
          <w:rFonts w:ascii="仿宋" w:hAnsi="仿宋" w:eastAsia="仿宋"/>
          <w:color w:val="auto"/>
        </w:rPr>
      </w:pPr>
      <w:r>
        <w:rPr>
          <w:rFonts w:hint="eastAsia" w:ascii="仿宋" w:hAnsi="仿宋" w:eastAsia="仿宋"/>
          <w:color w:val="auto"/>
        </w:rPr>
        <w:t>（二）估值原则</w:t>
      </w:r>
    </w:p>
    <w:p>
      <w:pPr>
        <w:pStyle w:val="22"/>
        <w:snapToGrid w:val="0"/>
        <w:spacing w:line="276" w:lineRule="auto"/>
        <w:ind w:firstLine="480" w:firstLineChars="200"/>
        <w:contextualSpacing/>
        <w:rPr>
          <w:rFonts w:ascii="仿宋" w:hAnsi="仿宋" w:eastAsia="仿宋"/>
        </w:rPr>
      </w:pPr>
      <w:r>
        <w:rPr>
          <w:rFonts w:hint="eastAsia" w:ascii="仿宋" w:hAnsi="仿宋" w:eastAsia="仿宋"/>
          <w:color w:val="auto"/>
        </w:rPr>
        <w:t>理财</w:t>
      </w:r>
      <w:r>
        <w:rPr>
          <w:rFonts w:ascii="仿宋" w:hAnsi="仿宋" w:eastAsia="仿宋"/>
          <w:color w:val="auto"/>
        </w:rPr>
        <w:t>产品估值的目的是公允、合理地反映理财产品的价值</w:t>
      </w:r>
      <w:r>
        <w:rPr>
          <w:rFonts w:hint="eastAsia" w:ascii="仿宋" w:hAnsi="仿宋" w:eastAsia="仿宋"/>
          <w:color w:val="auto"/>
        </w:rPr>
        <w:t>。估值</w:t>
      </w:r>
      <w:r>
        <w:rPr>
          <w:rFonts w:ascii="仿宋" w:hAnsi="仿宋" w:eastAsia="仿宋"/>
          <w:color w:val="auto"/>
        </w:rPr>
        <w:t>中坚持公允价值计量原则。金融</w:t>
      </w:r>
      <w:r>
        <w:rPr>
          <w:rFonts w:hint="eastAsia" w:ascii="仿宋" w:hAnsi="仿宋" w:eastAsia="仿宋"/>
          <w:color w:val="auto"/>
        </w:rPr>
        <w:t>资产</w:t>
      </w:r>
      <w:r>
        <w:rPr>
          <w:rFonts w:ascii="仿宋" w:hAnsi="仿宋" w:eastAsia="仿宋"/>
          <w:color w:val="auto"/>
        </w:rPr>
        <w:t>的公允价值确定方法应与理财产品的类型相匹配。</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（三）估值方法</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1.证券交易所上市的有价证券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在交易所市场上市的含有转股权的债券（如可转换债券、可交换债券等）等，选取每日收盘价减去所含的应收利息得到的净价进行估值。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2.处于未上市期间的有价证券应区分如下情况处理：</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（1）送股、转增股、配股和公开增发的新股，按估值日在证券交易所挂牌的同一股票的市价（收盘价）估值；该日无交易的，以最近一日的市价（收盘价）估值；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（2）首次公开发行未上市的股票、债券和权证，采用估值技术确定公允价值，在估值技术难以可靠计量公允价值的情况下，采用管理人和托管人共同认可的第三方机构提供的估值，或双方共同认可的估值；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（3）优先股采用估值技术确认公允价值，在估值技术难以可靠计量公允价值的情况下，采用管理人和托管人共同认可的第三方机构提供的估值，或双方共同认可的估值；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流通受限股票，包括但不限于非公开发行股票、公开发行有一定锁定期的股票、首次公开发行股票时公司股东公开发售股份、通过大宗交易取得的带限售期的股票等，不包括停牌、新发行未上市、回购交易中的质押券等流通受限股票，应以证券交易所上市交易的同一股票的公允价值为基础，引入第三方机构提供的流动性折扣进行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全国银行间债券市场交易的债券、资产支持证券等固定收益品种，采用中债金融估值中心有限公司提供的估值价确定公允价值。若中债金融估值中心有限公司未提供价格数据，应采用估值技术确认公允价值，或者管理人和托管人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4.同一债券同时在两个或两个以上市场交易的，按债券所处的市场分别估值。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5.证券投资基金的估值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（1）场外申赎的开放式基金（包括上市开放式基金LOF）以估值日前一交易日基金净值估值，估值日前一交易日开放式基金份额净值未公布的，以此前最近一个交易日基金份额净值计算；</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（2）上市流通的证券投资基金（包括场内买入的ETF、封闭式基金、上市定期开放式基金）按估值日其所在证券交易所的收盘价估值；估值日无交易的，以最近一个交易日的收盘价估值；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（3）货币基金按前一估值日后至估值日期间（含节假日）发布的万份收益计提估值日收益。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6.银行存款（活期、定期）及证券资金账户存款以本金列示，按照约定利率在持有期内逐日计提应收利息，在利息到账日以实收利息入账。</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7.债券回购和具有固定回报的买入返售金融资产：以买入/外放成本列示，按约定收益率逐日计提收益。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8.期货以估值日期货交易所的当日结算价估值，估值当日无结算价的，且最近交易日后经济环境未发生重大变化的，采用最近交易日结算价估值。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9.汇率估值方法</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则取该汇率，如未有提供，以双方协商一致的原则确定汇率。</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10.场内期权以估值日交易所的结算价估值，该日无交易的，以最近一日的结算价为准。</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11.非标准化债权类资产采用估值技术确认公允价值，在估值技术难以可靠计量公允价值的情况下，按照管理人和托管人共同认可的估值。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12.本系列产品所投资的资产管理产品以估值日公布的产品单位净值进行估值，估值日产品单位净值未公布的，以最近一个工作日产品单位净值计算。</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13.相关法律法规以及监管部门有强制规定的，从其规定。如有新增事项或变更事项，依法按最新规定计算。没有相关规定的，由产品管理人与托管人协商确定计算方法。</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14.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pPr>
        <w:pStyle w:val="22"/>
        <w:snapToGrid w:val="0"/>
        <w:spacing w:line="276" w:lineRule="auto"/>
        <w:ind w:firstLine="482" w:firstLineChars="200"/>
        <w:contextualSpacing/>
        <w:rPr>
          <w:rFonts w:ascii="仿宋" w:hAnsi="仿宋" w:eastAsia="仿宋"/>
        </w:rPr>
      </w:pPr>
      <w:r>
        <w:rPr>
          <w:rFonts w:hint="eastAsia" w:ascii="仿宋" w:hAnsi="仿宋" w:eastAsia="仿宋"/>
          <w:b/>
          <w:bCs/>
        </w:rPr>
        <w:t>以上“理财产品估值”章节所列的投资品种不代表本理财产品的实际投资范围，本产品实际可投资范围以本产品说明书“投资对象”章节列示为准。</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（四）暂停</w:t>
      </w:r>
      <w:r>
        <w:rPr>
          <w:rFonts w:ascii="仿宋" w:hAnsi="仿宋" w:eastAsia="仿宋" w:cs="宋体"/>
          <w:color w:val="000000"/>
          <w:kern w:val="0"/>
          <w:sz w:val="24"/>
        </w:rPr>
        <w:t>估值</w:t>
      </w:r>
    </w:p>
    <w:p>
      <w:pPr>
        <w:pStyle w:val="22"/>
        <w:snapToGrid w:val="0"/>
        <w:spacing w:line="276" w:lineRule="auto"/>
        <w:ind w:firstLine="482"/>
        <w:contextualSpacing/>
        <w:rPr>
          <w:rFonts w:ascii="仿宋" w:hAnsi="仿宋" w:eastAsia="仿宋"/>
          <w:b/>
          <w:bCs/>
        </w:rPr>
      </w:pPr>
      <w:r>
        <w:rPr>
          <w:rFonts w:hint="eastAsia" w:ascii="仿宋" w:hAnsi="仿宋" w:eastAsia="仿宋"/>
          <w:b/>
          <w:bCs/>
        </w:rPr>
        <w:t>在发生下列情形之一的，管理人可以暂停本理财产品估值：</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1.理财产品投资所涉及的市场遇法定节假日或因其他原因暂停营业。</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2.因不可抗力或其他情形致使管理人、托管人无法准确评估资产价值。</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3.占前一估值日资产净值50%以上的资产不具备活跃交易市场或者在活跃市场中无报价且采用估值技术仍导致公允价值存在重大不确定性时，管理人为保障投资者的利益，经与托管人协商一致，理财产品应当暂停估值。</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4.监管机构认定或管理人、托管人有合理理由认为将影响本理财产品估值的其它情形。</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（五）</w:t>
      </w:r>
      <w:r>
        <w:rPr>
          <w:rFonts w:ascii="仿宋" w:hAnsi="仿宋" w:eastAsia="仿宋" w:cs="宋体"/>
          <w:color w:val="000000"/>
          <w:kern w:val="0"/>
          <w:sz w:val="24"/>
        </w:rPr>
        <w:t>估值</w:t>
      </w:r>
      <w:r>
        <w:rPr>
          <w:rFonts w:hint="eastAsia" w:ascii="仿宋" w:hAnsi="仿宋" w:eastAsia="仿宋" w:cs="宋体"/>
          <w:color w:val="000000"/>
          <w:kern w:val="0"/>
          <w:sz w:val="24"/>
        </w:rPr>
        <w:t>错误的</w:t>
      </w:r>
      <w:r>
        <w:rPr>
          <w:rFonts w:ascii="仿宋" w:hAnsi="仿宋" w:eastAsia="仿宋" w:cs="宋体"/>
          <w:color w:val="000000"/>
          <w:kern w:val="0"/>
          <w:sz w:val="24"/>
        </w:rPr>
        <w:t>处理</w:t>
      </w:r>
    </w:p>
    <w:p>
      <w:pPr>
        <w:pStyle w:val="22"/>
        <w:snapToGrid w:val="0"/>
        <w:spacing w:line="276" w:lineRule="auto"/>
        <w:ind w:firstLine="480" w:firstLineChars="200"/>
        <w:contextualSpacing/>
        <w:rPr>
          <w:rFonts w:ascii="Times New Roman" w:eastAsia="黑体" w:cs="Times New Roman"/>
          <w:b/>
          <w:color w:val="auto"/>
        </w:rPr>
      </w:pPr>
      <w:r>
        <w:rPr>
          <w:rFonts w:hint="eastAsia" w:ascii="仿宋" w:hAnsi="仿宋" w:eastAsia="仿宋" w:cs="仿宋"/>
        </w:rPr>
        <w:t>管理人和托管人将采取必要、适当、合理的措施确保产品资产估值的准确性、及时性。当份额净值出现错误时，管理人应当立即予以纠正，并采取合理的措施防止损失进一步扩大；由此导致投资者遭受损失的，由估值错误责任方按照过错程度各自对该估值错误导致投资者遭受的直接损失承担赔偿责任。由于本理财产品估值所用的价格来源出现错误，或由于其它不可抗力原因，管理人和托管人虽然已经采取必要、适当、合理的措施进行检查，但是未能发现该错误的，由此造成的产品资产估值错误，管理人和托管人可以免除赔偿责任。但管理人和托管人应当积极采取必要的措施消除由此造成的影响。</w:t>
      </w:r>
      <w:r>
        <w:rPr>
          <w:rFonts w:hint="eastAsia" w:ascii="仿宋" w:hAnsi="仿宋" w:eastAsia="仿宋" w:cs="仿宋"/>
          <w:b/>
        </w:rPr>
        <w:t>当估值出现错误时，因估值错误而获得不当得利的投资者负有及时返还不当得利的义务。</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八、</w:t>
      </w:r>
      <w:r>
        <w:rPr>
          <w:rFonts w:ascii="Times New Roman" w:eastAsia="黑体" w:cs="Times New Roman"/>
          <w:b/>
          <w:color w:val="auto"/>
        </w:rPr>
        <w:t>风险揭示</w:t>
      </w:r>
    </w:p>
    <w:p>
      <w:pPr>
        <w:pStyle w:val="22"/>
        <w:snapToGrid w:val="0"/>
        <w:spacing w:line="276" w:lineRule="auto"/>
        <w:ind w:firstLine="480" w:firstLineChars="200"/>
        <w:contextualSpacing/>
        <w:jc w:val="both"/>
        <w:rPr>
          <w:rFonts w:ascii="Times New Roman" w:eastAsia="黑体" w:cs="Times New Roman"/>
        </w:rPr>
      </w:pPr>
      <w:r>
        <w:rPr>
          <w:rFonts w:ascii="仿宋" w:hAnsi="仿宋" w:eastAsia="仿宋"/>
        </w:rPr>
        <w:t>本理财产品</w:t>
      </w:r>
      <w:r>
        <w:rPr>
          <w:rFonts w:hint="eastAsia" w:ascii="仿宋" w:hAnsi="仿宋" w:eastAsia="仿宋"/>
        </w:rPr>
        <w:t>为非保本浮动收益净值型</w:t>
      </w:r>
      <w:r>
        <w:rPr>
          <w:rFonts w:ascii="仿宋" w:hAnsi="仿宋" w:eastAsia="仿宋"/>
        </w:rPr>
        <w:t>理财产品，根据法律法规及监管要求的有关规定，特向</w:t>
      </w:r>
      <w:r>
        <w:rPr>
          <w:rFonts w:hint="eastAsia" w:ascii="仿宋" w:hAnsi="仿宋" w:eastAsia="仿宋"/>
        </w:rPr>
        <w:t>投资者</w:t>
      </w:r>
      <w:r>
        <w:rPr>
          <w:rFonts w:ascii="仿宋" w:hAnsi="仿宋" w:eastAsia="仿宋"/>
        </w:rPr>
        <w:t>提示如下：与银行存款比较，本理财产品存在投资风险，</w:t>
      </w:r>
      <w:r>
        <w:rPr>
          <w:rFonts w:hint="eastAsia" w:ascii="仿宋" w:hAnsi="仿宋" w:eastAsia="仿宋"/>
        </w:rPr>
        <w:t>投资者</w:t>
      </w:r>
      <w:r>
        <w:rPr>
          <w:rFonts w:ascii="仿宋" w:hAnsi="仿宋" w:eastAsia="仿宋"/>
        </w:rPr>
        <w:t>的本金和收益可能会因市场变动等原因而蒙受损失，</w:t>
      </w:r>
      <w:r>
        <w:rPr>
          <w:rFonts w:hint="eastAsia" w:ascii="仿宋" w:hAnsi="仿宋" w:eastAsia="仿宋"/>
        </w:rPr>
        <w:t>投资者</w:t>
      </w:r>
      <w:r>
        <w:rPr>
          <w:rFonts w:ascii="仿宋" w:hAnsi="仿宋" w:eastAsia="仿宋"/>
        </w:rPr>
        <w:t>应充分认识投资风险，谨慎投资。本理财产品可能面临的风险主要包括：</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（一）本金及理财收益风险：本理财产品不保证本金及理财收益，理财产品收益来源于本理财产品项下投资组合的回报，容易受到企业信用状况变化、市场利率变化、</w:t>
      </w:r>
      <w:r>
        <w:rPr>
          <w:rFonts w:hint="eastAsia" w:ascii="Times New Roman" w:eastAsia="黑体" w:cs="Times New Roman"/>
          <w:b/>
          <w:color w:val="auto"/>
        </w:rPr>
        <w:t>汇率变化、</w:t>
      </w:r>
      <w:r>
        <w:rPr>
          <w:rFonts w:hint="eastAsia" w:ascii="Times New Roman" w:eastAsia="黑体" w:cs="Times New Roman"/>
          <w:b/>
        </w:rPr>
        <w:t>投资组合运作情况以及管理人投资能力等</w:t>
      </w:r>
      <w:r>
        <w:rPr>
          <w:rFonts w:ascii="Times New Roman" w:eastAsia="黑体" w:cs="Times New Roman"/>
          <w:b/>
        </w:rPr>
        <w:t>因素</w:t>
      </w:r>
      <w:r>
        <w:rPr>
          <w:rFonts w:hint="eastAsia" w:ascii="Times New Roman" w:eastAsia="黑体" w:cs="Times New Roman"/>
          <w:b/>
        </w:rPr>
        <w:t>的影响。在最不利的情况下，投资者可能无法获得理财产品投资收益，甚至损失全部理财本金，由此产生的风险由投资者自行承担。</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（二）信用风险：如理财产品</w:t>
      </w:r>
      <w:bookmarkStart w:id="1" w:name="_Hlk76300274"/>
      <w:r>
        <w:rPr>
          <w:rFonts w:hint="eastAsia" w:ascii="Times New Roman" w:eastAsia="黑体" w:cs="Times New Roman"/>
          <w:b/>
          <w:color w:val="auto"/>
        </w:rPr>
        <w:t>所投资的资产</w:t>
      </w:r>
      <w:bookmarkEnd w:id="1"/>
      <w:r>
        <w:rPr>
          <w:rFonts w:hint="eastAsia" w:ascii="Times New Roman" w:eastAsia="黑体" w:cs="Times New Roman"/>
          <w:b/>
          <w:color w:val="auto"/>
        </w:rPr>
        <w:t>发行人、</w:t>
      </w:r>
      <w:r>
        <w:rPr>
          <w:rFonts w:hint="eastAsia" w:ascii="Times New Roman" w:eastAsia="黑体" w:cs="Times New Roman"/>
          <w:b/>
        </w:rPr>
        <w:t>资产管理计划管理人、信托受托人、债务人、担保人（如有）等相关主体发生违约，可能导致无法按时支付本金及理财收益，进而导致本理财产品收益为零甚至本金遭受损失。</w:t>
      </w:r>
    </w:p>
    <w:p>
      <w:pPr>
        <w:pStyle w:val="22"/>
        <w:snapToGrid w:val="0"/>
        <w:spacing w:line="276" w:lineRule="auto"/>
        <w:ind w:firstLine="482" w:firstLineChars="200"/>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hint="eastAsia" w:ascii="Times New Roman" w:eastAsia="黑体" w:cs="Times New Roman"/>
          <w:b/>
        </w:rPr>
        <w:t>资产</w:t>
      </w:r>
      <w:r>
        <w:rPr>
          <w:rFonts w:ascii="Times New Roman" w:eastAsia="黑体" w:cs="Times New Roman"/>
          <w:b/>
        </w:rPr>
        <w:t>价格、利率、信用</w:t>
      </w:r>
      <w:r>
        <w:rPr>
          <w:rFonts w:hint="eastAsia" w:ascii="Times New Roman" w:eastAsia="黑体" w:cs="Times New Roman"/>
          <w:b/>
          <w:color w:val="auto"/>
        </w:rPr>
        <w:t>、汇率</w:t>
      </w:r>
      <w:r>
        <w:rPr>
          <w:rFonts w:ascii="Times New Roman" w:eastAsia="黑体" w:cs="Times New Roman"/>
          <w:b/>
        </w:rPr>
        <w:t>以及国家政策等的变动导致本理财产品净值遭受损失的可能。</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（四）流动性风险：</w:t>
      </w:r>
      <w:r>
        <w:rPr>
          <w:rFonts w:ascii="Times New Roman" w:eastAsia="黑体" w:cs="Times New Roman"/>
          <w:b/>
        </w:rPr>
        <w:t>本理财产品为</w:t>
      </w:r>
      <w:r>
        <w:rPr>
          <w:rFonts w:hint="eastAsia" w:ascii="Times New Roman" w:eastAsia="黑体" w:cs="Times New Roman"/>
          <w:b/>
        </w:rPr>
        <w:t>开放式</w:t>
      </w:r>
      <w:r>
        <w:rPr>
          <w:rFonts w:ascii="Times New Roman" w:eastAsia="黑体" w:cs="Times New Roman"/>
          <w:b/>
        </w:rPr>
        <w:t>净值型理财产品，投资者无权随时终止</w:t>
      </w:r>
      <w:r>
        <w:rPr>
          <w:rFonts w:hint="eastAsia" w:ascii="Times New Roman" w:eastAsia="黑体" w:cs="Times New Roman"/>
          <w:b/>
        </w:rPr>
        <w:t>本</w:t>
      </w:r>
      <w:r>
        <w:rPr>
          <w:rFonts w:ascii="Times New Roman" w:eastAsia="黑体" w:cs="Times New Roman"/>
          <w:b/>
        </w:rPr>
        <w:t>理财产品，</w:t>
      </w:r>
      <w:r>
        <w:rPr>
          <w:rFonts w:hint="eastAsia" w:ascii="Times New Roman" w:eastAsia="黑体" w:cs="Times New Roman"/>
          <w:b/>
        </w:rPr>
        <w:t>只能在本产品说明书规定的开放日及开放时间内办理申购与赎回</w:t>
      </w:r>
      <w:r>
        <w:rPr>
          <w:rFonts w:hint="eastAsia" w:eastAsia="黑体"/>
          <w:b/>
        </w:rPr>
        <w:t>。除本产品说明书规定情形以外，</w:t>
      </w:r>
      <w:r>
        <w:rPr>
          <w:rFonts w:eastAsia="黑体"/>
          <w:b/>
        </w:rPr>
        <w:t>封闭期内</w:t>
      </w:r>
      <w:r>
        <w:rPr>
          <w:rFonts w:hint="eastAsia" w:eastAsia="黑体"/>
          <w:b/>
        </w:rPr>
        <w:t>管理人</w:t>
      </w:r>
      <w:r>
        <w:rPr>
          <w:rFonts w:eastAsia="黑体"/>
          <w:b/>
        </w:rPr>
        <w:t>不受理</w:t>
      </w:r>
      <w:r>
        <w:rPr>
          <w:rFonts w:hint="eastAsia" w:eastAsia="黑体"/>
          <w:b/>
        </w:rPr>
        <w:t>投资者</w:t>
      </w:r>
      <w:r>
        <w:rPr>
          <w:rFonts w:eastAsia="黑体"/>
          <w:b/>
        </w:rPr>
        <w:t>任何形式的提前赎回申请。以上情形均</w:t>
      </w:r>
      <w:r>
        <w:rPr>
          <w:rFonts w:hint="eastAsia" w:ascii="Times New Roman" w:eastAsia="黑体" w:cs="Times New Roman"/>
          <w:b/>
        </w:rPr>
        <w:t>可能影响投资者的资金安排，带来流动性风险</w:t>
      </w:r>
      <w:r>
        <w:rPr>
          <w:rFonts w:ascii="Times New Roman" w:eastAsia="黑体" w:cs="Times New Roman"/>
          <w:b/>
        </w:rPr>
        <w:t>。</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五）投资风险：本理财产品的实际收益率取决于所投资金融工具的收益率，投资者应对此有充分的认识。除本产品说明书中明确规定的收益或收益分配方式外，任何业绩比较基准、收益示例或类似表述均不具有法律约束力，不代表投资者可能获得的实际收益，亦不构成华夏理财/代销机构对本理财产品的任何收益承诺。</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color w:val="auto"/>
        </w:rPr>
        <w:t>（六）汇率风险：</w:t>
      </w:r>
      <w:r>
        <w:rPr>
          <w:rFonts w:hint="eastAsia" w:ascii="Times New Roman" w:hAnsi="Calibri" w:eastAsia="黑体" w:cs="Times New Roman"/>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或损失外，汇率变化会带来额外的损失或收益，从而对投资者收益产生影响；反之亦然。</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（七）法律及政策风险：本理财产品是根据当前的相关法规和政策设计的。如国家宏观政策以及市场相关法规政策发生变化，影响理财产品的受理、投资、偿还等的正常进行，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hint="eastAsia" w:ascii="Times New Roman" w:eastAsia="黑体" w:cs="Times New Roman"/>
          <w:b/>
        </w:rPr>
        <w:t>造成</w:t>
      </w:r>
      <w:r>
        <w:rPr>
          <w:rFonts w:ascii="Times New Roman" w:eastAsia="黑体" w:cs="Times New Roman"/>
          <w:b/>
        </w:rPr>
        <w:t>本金损失。</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（八）</w:t>
      </w:r>
      <w:r>
        <w:rPr>
          <w:rFonts w:ascii="Times New Roman" w:eastAsia="黑体" w:cs="Times New Roman"/>
          <w:b/>
        </w:rPr>
        <w:t>理财产品不成立风险：</w:t>
      </w:r>
      <w:r>
        <w:rPr>
          <w:rFonts w:hint="eastAsia" w:ascii="Times New Roman" w:eastAsia="黑体" w:cs="Times New Roman"/>
          <w:b/>
        </w:rPr>
        <w:t>募集期</w:t>
      </w:r>
      <w:r>
        <w:rPr>
          <w:rFonts w:ascii="Times New Roman" w:eastAsia="黑体" w:cs="Times New Roman"/>
          <w:b/>
        </w:rPr>
        <w:t>结束，如理财产品</w:t>
      </w:r>
      <w:r>
        <w:rPr>
          <w:rFonts w:hint="eastAsia" w:ascii="Times New Roman" w:eastAsia="黑体" w:cs="Times New Roman"/>
          <w:b/>
        </w:rPr>
        <w:t>募集</w:t>
      </w:r>
      <w:r>
        <w:rPr>
          <w:rFonts w:ascii="Times New Roman" w:eastAsia="黑体" w:cs="Times New Roman"/>
          <w:b/>
        </w:rPr>
        <w:t>总金额未达到发行</w:t>
      </w:r>
      <w:r>
        <w:rPr>
          <w:rFonts w:hint="eastAsia" w:ascii="Times New Roman" w:eastAsia="黑体" w:cs="Times New Roman"/>
          <w:b/>
        </w:rPr>
        <w:t>规模</w:t>
      </w:r>
      <w:r>
        <w:rPr>
          <w:rFonts w:ascii="Times New Roman" w:eastAsia="黑体" w:cs="Times New Roman"/>
          <w:b/>
        </w:rPr>
        <w:t>下限</w:t>
      </w:r>
      <w:r>
        <w:rPr>
          <w:rFonts w:hint="eastAsia" w:ascii="Times New Roman" w:eastAsia="黑体" w:cs="Times New Roman"/>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hint="eastAsia" w:ascii="Times New Roman" w:eastAsia="黑体" w:cs="Times New Roman"/>
          <w:b/>
        </w:rPr>
        <w:t>理财</w:t>
      </w:r>
      <w:r>
        <w:rPr>
          <w:rFonts w:ascii="Times New Roman" w:eastAsia="黑体" w:cs="Times New Roman"/>
          <w:b/>
        </w:rPr>
        <w:t>有权宣布本理财产品不成立。</w:t>
      </w:r>
    </w:p>
    <w:p>
      <w:pPr>
        <w:pStyle w:val="22"/>
        <w:snapToGrid w:val="0"/>
        <w:spacing w:line="276" w:lineRule="auto"/>
        <w:ind w:firstLine="482" w:firstLineChars="200"/>
        <w:contextualSpacing/>
        <w:jc w:val="both"/>
        <w:rPr>
          <w:rFonts w:ascii="Times New Roman" w:eastAsia="黑体" w:cs="Times New Roman"/>
          <w:b/>
        </w:rPr>
      </w:pPr>
      <w:r>
        <w:rPr>
          <w:rFonts w:ascii="Times New Roman" w:eastAsia="黑体" w:cs="Times New Roman"/>
          <w:b/>
        </w:rPr>
        <w:t>（</w:t>
      </w:r>
      <w:r>
        <w:rPr>
          <w:rFonts w:hint="eastAsia" w:ascii="Times New Roman" w:eastAsia="黑体" w:cs="Times New Roman"/>
          <w:b/>
        </w:rPr>
        <w:t>九</w:t>
      </w:r>
      <w:r>
        <w:rPr>
          <w:rFonts w:ascii="Times New Roman" w:eastAsia="黑体" w:cs="Times New Roman"/>
          <w:b/>
        </w:rPr>
        <w:t>）</w:t>
      </w:r>
      <w:r>
        <w:rPr>
          <w:rFonts w:hint="eastAsia" w:ascii="Times New Roman" w:eastAsia="黑体" w:cs="Times New Roman"/>
          <w:b/>
        </w:rPr>
        <w:t>提前终止风险：如遇前述提前</w:t>
      </w:r>
      <w:r>
        <w:rPr>
          <w:rFonts w:ascii="Times New Roman" w:eastAsia="黑体" w:cs="Times New Roman"/>
          <w:b/>
        </w:rPr>
        <w:t>终止权</w:t>
      </w:r>
      <w:r>
        <w:rPr>
          <w:rFonts w:hint="eastAsia" w:ascii="Times New Roman" w:eastAsia="黑体" w:cs="Times New Roman"/>
          <w:b/>
        </w:rPr>
        <w:t>条款中涉及</w:t>
      </w:r>
      <w:r>
        <w:rPr>
          <w:rFonts w:ascii="Times New Roman" w:eastAsia="黑体" w:cs="Times New Roman"/>
          <w:b/>
        </w:rPr>
        <w:t>的</w:t>
      </w:r>
      <w:r>
        <w:rPr>
          <w:rFonts w:hint="eastAsia" w:ascii="Times New Roman" w:eastAsia="黑体" w:cs="Times New Roman"/>
          <w:b/>
        </w:rPr>
        <w:t>情形，华夏理财有权提前终止本理财产品，投资者可能收益为零甚至损失理财本金。</w:t>
      </w:r>
    </w:p>
    <w:p>
      <w:pPr>
        <w:pStyle w:val="22"/>
        <w:snapToGrid w:val="0"/>
        <w:spacing w:line="276" w:lineRule="auto"/>
        <w:ind w:firstLine="482" w:firstLineChars="200"/>
        <w:contextualSpacing/>
        <w:jc w:val="both"/>
        <w:rPr>
          <w:rFonts w:ascii="Times New Roman" w:eastAsia="黑体" w:cs="Times New Roman"/>
          <w:b/>
        </w:rPr>
      </w:pPr>
      <w:r>
        <w:rPr>
          <w:rFonts w:hint="eastAsia" w:eastAsia="黑体"/>
          <w:b/>
        </w:rPr>
        <w:t>（十）延期风险：对于有确定到期日的理财产品，</w:t>
      </w:r>
      <w:r>
        <w:rPr>
          <w:rFonts w:eastAsia="黑体"/>
          <w:b/>
        </w:rPr>
        <w:t>如因与</w:t>
      </w:r>
      <w:r>
        <w:rPr>
          <w:rFonts w:hint="eastAsia" w:eastAsia="黑体"/>
          <w:b/>
        </w:rPr>
        <w:t>理财</w:t>
      </w:r>
      <w:r>
        <w:rPr>
          <w:rFonts w:eastAsia="黑体"/>
          <w:b/>
        </w:rPr>
        <w:t>产品投资资产相关的</w:t>
      </w:r>
      <w:r>
        <w:rPr>
          <w:rFonts w:hint="eastAsia" w:eastAsia="黑体"/>
          <w:b/>
        </w:rPr>
        <w:t>资产管理计划管理人、</w:t>
      </w:r>
      <w:r>
        <w:rPr>
          <w:rFonts w:eastAsia="黑体"/>
          <w:b/>
        </w:rPr>
        <w:t>信托受托人、债务人、担保人（如有）等主体发生违约，导致本理财产品不能按时偿</w:t>
      </w:r>
      <w:r>
        <w:rPr>
          <w:rFonts w:hint="eastAsia" w:eastAsia="黑体"/>
          <w:b/>
        </w:rPr>
        <w:t>付理财</w:t>
      </w:r>
      <w:r>
        <w:rPr>
          <w:rFonts w:eastAsia="黑体"/>
          <w:b/>
        </w:rPr>
        <w:t>本金及收益</w:t>
      </w:r>
      <w:r>
        <w:rPr>
          <w:rFonts w:hint="eastAsia" w:eastAsia="黑体"/>
          <w:b/>
        </w:rPr>
        <w:t>；或因市场成交量不足、资产限制赎回、暂停交易、缺乏意愿交易对手等原因，管理人未能及时完成资产变现，则本</w:t>
      </w:r>
      <w:r>
        <w:rPr>
          <w:rFonts w:eastAsia="黑体"/>
          <w:b/>
        </w:rPr>
        <w:t>理财</w:t>
      </w:r>
      <w:r>
        <w:rPr>
          <w:rFonts w:hint="eastAsia" w:eastAsia="黑体"/>
          <w:b/>
        </w:rPr>
        <w:t>产品</w:t>
      </w:r>
      <w:r>
        <w:rPr>
          <w:rFonts w:eastAsia="黑体"/>
          <w:b/>
        </w:rPr>
        <w:t>期限将相应延长。</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资决策，因此产生的责任和风险由投资者自行承担。另外，投资者预留在</w:t>
      </w:r>
      <w:bookmarkStart w:id="2" w:name="_Hlk76301212"/>
      <w:r>
        <w:rPr>
          <w:rFonts w:hint="eastAsia" w:ascii="Times New Roman" w:eastAsia="黑体" w:cs="Times New Roman"/>
          <w:b/>
          <w:color w:val="auto"/>
        </w:rPr>
        <w:t>华夏理财/代销机构</w:t>
      </w:r>
      <w:bookmarkEnd w:id="2"/>
      <w:r>
        <w:rPr>
          <w:rFonts w:hint="eastAsia" w:ascii="Times New Roman" w:eastAsia="黑体" w:cs="Times New Roman"/>
          <w:b/>
        </w:rPr>
        <w:t>的有效联系方式变更的，应及时通知</w:t>
      </w:r>
      <w:r>
        <w:rPr>
          <w:rFonts w:hint="eastAsia" w:ascii="Times New Roman" w:eastAsia="黑体" w:cs="Times New Roman"/>
          <w:b/>
          <w:color w:val="auto"/>
        </w:rPr>
        <w:t>华夏理财/代销机构</w:t>
      </w:r>
      <w:r>
        <w:rPr>
          <w:rFonts w:hint="eastAsia" w:ascii="Times New Roman" w:eastAsia="黑体" w:cs="Times New Roman"/>
          <w:b/>
        </w:rPr>
        <w:t>。因投资者未及时告知导致的信息传递失败的风险由投资者自行承担。</w:t>
      </w:r>
    </w:p>
    <w:p>
      <w:pPr>
        <w:pStyle w:val="22"/>
        <w:snapToGrid w:val="0"/>
        <w:spacing w:line="276" w:lineRule="auto"/>
        <w:ind w:firstLine="482"/>
        <w:contextualSpacing/>
        <w:rPr>
          <w:rFonts w:ascii="Times New Roman" w:eastAsia="黑体" w:cs="Times New Roman"/>
          <w:b/>
          <w:color w:val="auto"/>
        </w:rPr>
      </w:pPr>
      <w:r>
        <w:rPr>
          <w:rFonts w:hint="eastAsia" w:ascii="Times New Roman" w:eastAsia="黑体" w:cs="Times New Roman"/>
          <w:b/>
        </w:rPr>
        <w:t>（十二）关联关系风险：本理财产品的代销机构与托管人可能为管理人的关联方，华夏理财已履行了现行法律法规和监管规定的必要程序。本理财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管理人华夏理财的控股股东，二者存在关联关系。如因存在关联关系，导致销售机构对本理财产品未能进行独立、审慎判断或放松准入管理，可能会给投资者造成潜在风险。</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（十三）拟投资市场及资产的流动性风险评估</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本理财产品如投资于非标准化债权资产，将严格执行监管有关限额管理、流动性管理等监管标准要求，防范并控制集中度和期限错配等风险。</w:t>
      </w:r>
    </w:p>
    <w:p>
      <w:pPr>
        <w:pStyle w:val="22"/>
        <w:snapToGrid w:val="0"/>
        <w:spacing w:line="276" w:lineRule="auto"/>
        <w:ind w:firstLine="482" w:firstLineChars="200"/>
        <w:contextualSpacing/>
        <w:rPr>
          <w:rFonts w:ascii="仿宋" w:hAnsi="仿宋" w:eastAsia="仿宋"/>
          <w:bCs/>
          <w:szCs w:val="21"/>
        </w:rPr>
      </w:pPr>
      <w:r>
        <w:rPr>
          <w:rFonts w:hint="eastAsia" w:ascii="Times New Roman" w:eastAsia="黑体" w:cs="Times New Roman"/>
          <w:b/>
        </w:rPr>
        <w:t>但不排除在特定阶段、特定市场环境下特定投资标的出现流动性较差的情况。因此，本理财产品投资于上述资产时，可能存在以下流动性风险：一是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产品说明书“投资对象”章节列示为准）。两者均可能使本理财产品资产净值受到不利影响。</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（十四）流动性应对措施及对投资者的潜在影响</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1．认（申）购风险应对措施及对投资者的潜在影响</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管理人将加强对本理财产品认（申）购环节的管理，合理控制理财产品投资者集中度，审慎确认大额认（申）购申请。当接受认（申）购申请对存量理财产品投资者利益构成潜在重大不利影响时，管理人将采取设定单一投资者认（申）购金额上限或理财产品单日净认（申）购比例上限、拒绝大额认（申）购申请、暂停理财产品认（申）购等措施对理财产品规模予以控制，切实保护存量理财产品投资者的合法权益。具体详见产品说明书中“一、产品概述”及“五、认购、申购、赎回”。</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当管理人采用认（申）购风险应对措施时，可能对投资者造成一定的潜在影响，包括但不限于不能认（申）购本理财产品、认（申）购交易全部或部分确认失败等。</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2．赎回风险应对措施及对投资者的潜在影响</w:t>
      </w:r>
    </w:p>
    <w:p>
      <w:pPr>
        <w:pStyle w:val="22"/>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管理人可依照法律法规及理财产品销售文件的约定，综合运用赎回流动性风险应对措施，包括但不限于：设置赎回上限、延期办理巨额赎回申请、暂停接受赎回申请、延缓支付赎回款项、收取短期赎回费、暂停理财产品估值、摆动定价，以及监管机构规定的其他风险应对措施。具体详见本理财产品说明书“一、产品概述”及“五、认购、申购、赎回”。</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当管理人实施赎回流动性风险应对措施时，可能对投资者造成一定的潜在影响，包括但不限于赎回交易全部或部分确认失败、赎回款项延迟到账、增加申赎成本或产生赎回费用等。</w:t>
      </w:r>
    </w:p>
    <w:p>
      <w:pPr>
        <w:pStyle w:val="22"/>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rPr>
        <w:t>（十五）其他风险：由于自然灾害</w:t>
      </w:r>
      <w:r>
        <w:rPr>
          <w:rFonts w:ascii="Times New Roman" w:eastAsia="黑体" w:cs="Times New Roman"/>
          <w:b/>
        </w:rPr>
        <w:t>、战争或国家政策变化等不能预见、不能避免</w:t>
      </w:r>
      <w:r>
        <w:rPr>
          <w:rFonts w:hint="eastAsia" w:ascii="Times New Roman" w:eastAsia="黑体" w:cs="Times New Roman"/>
          <w:b/>
        </w:rPr>
        <w:t>、</w:t>
      </w:r>
      <w:r>
        <w:rPr>
          <w:rFonts w:ascii="Times New Roman" w:eastAsia="黑体" w:cs="Times New Roman"/>
          <w:b/>
        </w:rPr>
        <w:t>不能克服的</w:t>
      </w:r>
      <w:r>
        <w:rPr>
          <w:rFonts w:hint="eastAsia" w:ascii="Times New Roman" w:eastAsia="黑体" w:cs="Times New Roman"/>
          <w:b/>
        </w:rPr>
        <w:t>不可抗力</w:t>
      </w:r>
      <w:r>
        <w:rPr>
          <w:rFonts w:hint="eastAsia" w:ascii="Times New Roman" w:eastAsia="黑体"/>
          <w:b/>
          <w:color w:val="auto"/>
        </w:rPr>
        <w:t>或非华夏理财原因发生的计算机系统故障、网络故障、通讯故障、电力故障等</w:t>
      </w:r>
      <w:r>
        <w:rPr>
          <w:rFonts w:hint="eastAsia" w:ascii="Times New Roman" w:eastAsia="黑体" w:cs="Times New Roman"/>
          <w:b/>
        </w:rPr>
        <w:t>导致理财产品所投资资产收益降低或损失，甚至影响理财产品的受理、投资、偿还等的正常进行，进而影响理财产品的投资收益和本金安全。</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九、</w:t>
      </w:r>
      <w:r>
        <w:rPr>
          <w:rFonts w:ascii="Times New Roman" w:eastAsia="黑体" w:cs="Times New Roman"/>
          <w:b/>
          <w:color w:val="auto"/>
        </w:rPr>
        <w:t>信息披露</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ascii="仿宋" w:hAnsi="仿宋" w:eastAsia="仿宋" w:cs="宋体"/>
          <w:color w:val="000000"/>
          <w:kern w:val="0"/>
          <w:sz w:val="24"/>
        </w:rPr>
        <w:t>（</w:t>
      </w:r>
      <w:r>
        <w:rPr>
          <w:rFonts w:hint="eastAsia" w:ascii="仿宋" w:hAnsi="仿宋" w:eastAsia="仿宋" w:cs="宋体"/>
          <w:color w:val="000000"/>
          <w:kern w:val="0"/>
          <w:sz w:val="24"/>
        </w:rPr>
        <w:t>一</w:t>
      </w:r>
      <w:r>
        <w:rPr>
          <w:rFonts w:ascii="仿宋" w:hAnsi="仿宋" w:eastAsia="仿宋" w:cs="宋体"/>
          <w:color w:val="000000"/>
          <w:kern w:val="0"/>
          <w:sz w:val="24"/>
        </w:rPr>
        <w:t>）理财产品运作信息披露</w:t>
      </w:r>
    </w:p>
    <w:p>
      <w:pPr>
        <w:autoSpaceDE w:val="0"/>
        <w:autoSpaceDN w:val="0"/>
        <w:adjustRightInd w:val="0"/>
        <w:snapToGrid w:val="0"/>
        <w:spacing w:line="276" w:lineRule="auto"/>
        <w:ind w:firstLine="482" w:firstLineChars="200"/>
        <w:contextualSpacing/>
        <w:rPr>
          <w:rFonts w:ascii="仿宋" w:hAnsi="仿宋" w:eastAsia="仿宋" w:cs="宋体"/>
          <w:b/>
          <w:color w:val="000000"/>
          <w:kern w:val="0"/>
          <w:sz w:val="24"/>
        </w:rPr>
      </w:pPr>
      <w:r>
        <w:rPr>
          <w:rFonts w:hint="eastAsia" w:ascii="仿宋" w:hAnsi="仿宋" w:eastAsia="仿宋" w:cs="宋体"/>
          <w:b/>
          <w:color w:val="000000"/>
          <w:kern w:val="0"/>
          <w:sz w:val="24"/>
        </w:rPr>
        <w:t>1.</w:t>
      </w:r>
      <w:r>
        <w:rPr>
          <w:rFonts w:ascii="仿宋" w:hAnsi="仿宋" w:eastAsia="仿宋" w:cs="宋体"/>
          <w:b/>
          <w:color w:val="000000"/>
          <w:kern w:val="0"/>
          <w:sz w:val="24"/>
        </w:rPr>
        <w:t>华夏</w:t>
      </w:r>
      <w:r>
        <w:rPr>
          <w:rFonts w:hint="eastAsia" w:ascii="仿宋" w:hAnsi="仿宋" w:eastAsia="仿宋" w:cs="宋体"/>
          <w:b/>
          <w:color w:val="000000"/>
          <w:kern w:val="0"/>
          <w:sz w:val="24"/>
        </w:rPr>
        <w:t>理财</w:t>
      </w:r>
      <w:r>
        <w:rPr>
          <w:rFonts w:ascii="仿宋" w:hAnsi="仿宋" w:eastAsia="仿宋" w:cs="宋体"/>
          <w:b/>
          <w:color w:val="000000"/>
          <w:kern w:val="0"/>
          <w:sz w:val="24"/>
        </w:rPr>
        <w:t>将按照法律法规及监管</w:t>
      </w:r>
      <w:r>
        <w:rPr>
          <w:rFonts w:hint="eastAsia" w:ascii="仿宋" w:hAnsi="仿宋" w:eastAsia="仿宋" w:cs="宋体"/>
          <w:b/>
          <w:color w:val="000000"/>
          <w:kern w:val="0"/>
          <w:sz w:val="24"/>
        </w:rPr>
        <w:t>规定</w:t>
      </w:r>
      <w:r>
        <w:rPr>
          <w:rFonts w:ascii="仿宋" w:hAnsi="仿宋" w:eastAsia="仿宋" w:cs="宋体"/>
          <w:b/>
          <w:color w:val="000000"/>
          <w:kern w:val="0"/>
          <w:sz w:val="24"/>
        </w:rPr>
        <w:t>的要求</w:t>
      </w:r>
      <w:r>
        <w:rPr>
          <w:rFonts w:hint="eastAsia" w:ascii="仿宋" w:hAnsi="仿宋" w:eastAsia="仿宋" w:cs="宋体"/>
          <w:b/>
          <w:color w:val="000000"/>
          <w:kern w:val="0"/>
          <w:sz w:val="24"/>
        </w:rPr>
        <w:t>披露本理财产品信息，披露事项包括理财产品成立、不成立、净值、收益分配、到期、提前终止、调整等内容。</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2.本理财产品已经在“全国银行业理财信息登记系统”登记，投资者可依据登记编码在“中国理财网”查询本理财产品信息。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w:t>
      </w:r>
      <w:r>
        <w:rPr>
          <w:rFonts w:ascii="仿宋" w:hAnsi="仿宋" w:eastAsia="仿宋" w:cs="宋体"/>
          <w:color w:val="000000"/>
          <w:kern w:val="0"/>
          <w:sz w:val="24"/>
        </w:rPr>
        <w:t>在</w:t>
      </w:r>
      <w:r>
        <w:rPr>
          <w:rFonts w:hint="eastAsia" w:ascii="仿宋" w:hAnsi="仿宋" w:eastAsia="仿宋" w:cs="宋体"/>
          <w:color w:val="000000"/>
          <w:kern w:val="0"/>
          <w:sz w:val="24"/>
        </w:rPr>
        <w:t>理财</w:t>
      </w:r>
      <w:r>
        <w:rPr>
          <w:rFonts w:ascii="仿宋" w:hAnsi="仿宋" w:eastAsia="仿宋" w:cs="宋体"/>
          <w:color w:val="000000"/>
          <w:kern w:val="0"/>
          <w:sz w:val="24"/>
        </w:rPr>
        <w:t>产品不成立时，华夏</w:t>
      </w:r>
      <w:r>
        <w:rPr>
          <w:rFonts w:hint="eastAsia" w:ascii="仿宋" w:hAnsi="仿宋" w:eastAsia="仿宋" w:cs="宋体"/>
          <w:color w:val="000000"/>
          <w:kern w:val="0"/>
          <w:sz w:val="24"/>
        </w:rPr>
        <w:t>理财</w:t>
      </w:r>
      <w:r>
        <w:rPr>
          <w:rFonts w:ascii="仿宋" w:hAnsi="仿宋" w:eastAsia="仿宋" w:cs="宋体"/>
          <w:color w:val="000000"/>
          <w:kern w:val="0"/>
          <w:sz w:val="24"/>
        </w:rPr>
        <w:t>将在原定成立日后2个工作日内发布产品不成立</w:t>
      </w:r>
      <w:r>
        <w:rPr>
          <w:rFonts w:hint="eastAsia" w:ascii="仿宋" w:hAnsi="仿宋" w:eastAsia="仿宋" w:cs="宋体"/>
          <w:color w:val="000000"/>
          <w:kern w:val="0"/>
          <w:sz w:val="24"/>
        </w:rPr>
        <w:t>公告</w:t>
      </w:r>
      <w:r>
        <w:rPr>
          <w:rFonts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w:t>
      </w:r>
      <w:r>
        <w:rPr>
          <w:rFonts w:ascii="仿宋" w:hAnsi="仿宋" w:eastAsia="仿宋" w:cs="宋体"/>
          <w:color w:val="000000"/>
          <w:kern w:val="0"/>
          <w:sz w:val="24"/>
        </w:rPr>
        <w:t>本理财产品成立后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w:t>
      </w:r>
      <w:r>
        <w:rPr>
          <w:rFonts w:hint="eastAsia" w:ascii="仿宋" w:hAnsi="仿宋" w:eastAsia="仿宋" w:cs="宋体"/>
          <w:color w:val="000000"/>
          <w:kern w:val="0"/>
          <w:sz w:val="24"/>
        </w:rPr>
        <w:t>成立公</w:t>
      </w:r>
      <w:r>
        <w:rPr>
          <w:rFonts w:ascii="仿宋" w:hAnsi="仿宋" w:eastAsia="仿宋" w:cs="宋体"/>
          <w:color w:val="000000"/>
          <w:kern w:val="0"/>
          <w:sz w:val="24"/>
        </w:rPr>
        <w:t>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5</w:t>
      </w:r>
      <w:r>
        <w:rPr>
          <w:rFonts w:hint="eastAsia" w:ascii="仿宋" w:hAnsi="仿宋" w:eastAsia="仿宋" w:cs="宋体"/>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hAnsi="仿宋" w:eastAsia="仿宋" w:cs="宋体"/>
          <w:color w:val="000000"/>
          <w:kern w:val="0"/>
          <w:sz w:val="24"/>
        </w:rPr>
        <w:t>或者剩余存续期不超过</w:t>
      </w:r>
      <w:r>
        <w:rPr>
          <w:rFonts w:hint="eastAsia" w:ascii="仿宋" w:hAnsi="仿宋" w:eastAsia="仿宋" w:cs="宋体"/>
          <w:color w:val="000000"/>
          <w:kern w:val="0"/>
          <w:sz w:val="24"/>
        </w:rPr>
        <w:t>90个工作日</w:t>
      </w:r>
      <w:r>
        <w:rPr>
          <w:rFonts w:ascii="仿宋" w:hAnsi="仿宋" w:eastAsia="仿宋" w:cs="宋体"/>
          <w:color w:val="000000"/>
          <w:kern w:val="0"/>
          <w:sz w:val="24"/>
        </w:rPr>
        <w:t>的，可不编写当期季报、半</w:t>
      </w:r>
      <w:r>
        <w:rPr>
          <w:rFonts w:hint="eastAsia" w:ascii="仿宋" w:hAnsi="仿宋" w:eastAsia="仿宋" w:cs="宋体"/>
          <w:color w:val="000000"/>
          <w:kern w:val="0"/>
          <w:sz w:val="24"/>
        </w:rPr>
        <w:t>年</w:t>
      </w:r>
      <w:r>
        <w:rPr>
          <w:rFonts w:ascii="仿宋" w:hAnsi="仿宋" w:eastAsia="仿宋" w:cs="宋体"/>
          <w:color w:val="000000"/>
          <w:kern w:val="0"/>
          <w:sz w:val="24"/>
        </w:rPr>
        <w:t>和年度报告</w:t>
      </w:r>
      <w:r>
        <w:rPr>
          <w:rFonts w:hint="eastAsia" w:ascii="仿宋" w:hAnsi="仿宋" w:eastAsia="仿宋" w:cs="宋体"/>
          <w:color w:val="000000"/>
          <w:kern w:val="0"/>
          <w:sz w:val="24"/>
        </w:rPr>
        <w:t>。在理财产品季度、半年和年度报告中披露理财产品组合资产情况及其流动性风险分析。</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6</w:t>
      </w:r>
      <w:r>
        <w:rPr>
          <w:rFonts w:hint="eastAsia" w:ascii="仿宋" w:hAnsi="仿宋" w:eastAsia="仿宋" w:cs="宋体"/>
          <w:color w:val="000000"/>
          <w:kern w:val="0"/>
          <w:sz w:val="24"/>
        </w:rPr>
        <w:t>.</w:t>
      </w:r>
      <w:r>
        <w:rPr>
          <w:rFonts w:ascii="仿宋" w:hAnsi="仿宋" w:eastAsia="仿宋" w:cs="宋体"/>
          <w:color w:val="000000"/>
          <w:kern w:val="0"/>
          <w:sz w:val="24"/>
        </w:rPr>
        <w:t>如</w:t>
      </w:r>
      <w:r>
        <w:rPr>
          <w:rFonts w:hint="eastAsia" w:ascii="仿宋" w:hAnsi="仿宋" w:eastAsia="仿宋" w:cs="宋体"/>
          <w:color w:val="000000"/>
          <w:kern w:val="0"/>
          <w:sz w:val="24"/>
        </w:rPr>
        <w:t>华夏理财</w:t>
      </w:r>
      <w:r>
        <w:rPr>
          <w:rFonts w:ascii="仿宋" w:hAnsi="仿宋" w:eastAsia="仿宋" w:cs="宋体"/>
          <w:color w:val="000000"/>
          <w:kern w:val="0"/>
          <w:sz w:val="24"/>
        </w:rPr>
        <w:t>决定</w:t>
      </w:r>
      <w:r>
        <w:rPr>
          <w:rFonts w:hint="eastAsia" w:ascii="仿宋" w:hAnsi="仿宋" w:eastAsia="仿宋" w:cs="宋体"/>
          <w:color w:val="000000"/>
          <w:kern w:val="0"/>
          <w:sz w:val="24"/>
        </w:rPr>
        <w:t>提前</w:t>
      </w:r>
      <w:r>
        <w:rPr>
          <w:rFonts w:ascii="仿宋" w:hAnsi="仿宋" w:eastAsia="仿宋" w:cs="宋体"/>
          <w:color w:val="000000"/>
          <w:kern w:val="0"/>
          <w:sz w:val="24"/>
        </w:rPr>
        <w:t>终止本理财产品，将于</w:t>
      </w:r>
      <w:r>
        <w:rPr>
          <w:rFonts w:hint="eastAsia" w:ascii="仿宋" w:hAnsi="仿宋" w:eastAsia="仿宋" w:cs="宋体"/>
          <w:color w:val="000000"/>
          <w:kern w:val="0"/>
          <w:sz w:val="24"/>
        </w:rPr>
        <w:t>提前</w:t>
      </w:r>
      <w:r>
        <w:rPr>
          <w:rFonts w:ascii="仿宋" w:hAnsi="仿宋" w:eastAsia="仿宋" w:cs="宋体"/>
          <w:color w:val="000000"/>
          <w:kern w:val="0"/>
          <w:sz w:val="24"/>
        </w:rPr>
        <w:t>终止日的前3个工作日</w:t>
      </w:r>
      <w:r>
        <w:rPr>
          <w:rFonts w:hint="eastAsia" w:ascii="仿宋" w:hAnsi="仿宋" w:eastAsia="仿宋" w:cs="宋体"/>
          <w:color w:val="000000"/>
          <w:kern w:val="0"/>
          <w:sz w:val="24"/>
        </w:rPr>
        <w:t>通过本产品说明书约定的信息披露渠道发布相关公告</w:t>
      </w:r>
      <w:r>
        <w:rPr>
          <w:rFonts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7</w:t>
      </w:r>
      <w:r>
        <w:rPr>
          <w:rFonts w:hint="eastAsia" w:ascii="仿宋" w:hAnsi="仿宋" w:eastAsia="仿宋" w:cs="宋体"/>
          <w:color w:val="000000"/>
          <w:kern w:val="0"/>
          <w:sz w:val="24"/>
        </w:rPr>
        <w:t>.</w:t>
      </w:r>
      <w:r>
        <w:rPr>
          <w:rFonts w:ascii="仿宋" w:hAnsi="仿宋" w:eastAsia="仿宋" w:cs="宋体"/>
          <w:color w:val="000000"/>
          <w:kern w:val="0"/>
          <w:sz w:val="24"/>
        </w:rPr>
        <w:t>产品</w:t>
      </w:r>
      <w:r>
        <w:rPr>
          <w:rFonts w:hint="eastAsia" w:ascii="仿宋" w:hAnsi="仿宋" w:eastAsia="仿宋" w:cs="宋体"/>
          <w:color w:val="000000"/>
          <w:kern w:val="0"/>
          <w:sz w:val="24"/>
        </w:rPr>
        <w:t>到期/</w:t>
      </w:r>
      <w:r>
        <w:rPr>
          <w:rFonts w:ascii="仿宋" w:hAnsi="仿宋" w:eastAsia="仿宋" w:cs="宋体"/>
          <w:color w:val="000000"/>
          <w:kern w:val="0"/>
          <w:sz w:val="24"/>
        </w:rPr>
        <w:t>终止后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将发布产品到期</w:t>
      </w:r>
      <w:r>
        <w:rPr>
          <w:rFonts w:hint="eastAsia" w:ascii="仿宋" w:hAnsi="仿宋" w:eastAsia="仿宋" w:cs="宋体"/>
          <w:color w:val="000000"/>
          <w:kern w:val="0"/>
          <w:sz w:val="24"/>
        </w:rPr>
        <w:t>/终止</w:t>
      </w:r>
      <w:r>
        <w:rPr>
          <w:rFonts w:ascii="仿宋" w:hAnsi="仿宋" w:eastAsia="仿宋" w:cs="宋体"/>
          <w:color w:val="000000"/>
          <w:kern w:val="0"/>
          <w:sz w:val="24"/>
        </w:rPr>
        <w:t>报告。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kern w:val="0"/>
          <w:sz w:val="24"/>
        </w:rPr>
        <w:t>8</w:t>
      </w:r>
      <w:r>
        <w:rPr>
          <w:rFonts w:hint="eastAsia" w:ascii="仿宋" w:hAnsi="仿宋" w:eastAsia="仿宋" w:cs="宋体"/>
          <w:kern w:val="0"/>
          <w:sz w:val="24"/>
        </w:rPr>
        <w:t>．本理财产品</w:t>
      </w:r>
      <w:r>
        <w:rPr>
          <w:rFonts w:ascii="仿宋" w:hAnsi="仿宋" w:eastAsia="仿宋" w:cs="宋体"/>
          <w:kern w:val="0"/>
          <w:sz w:val="24"/>
        </w:rPr>
        <w:t>将</w:t>
      </w:r>
      <w:r>
        <w:rPr>
          <w:rFonts w:hint="eastAsia" w:ascii="仿宋" w:hAnsi="仿宋" w:eastAsia="仿宋" w:cs="宋体"/>
          <w:kern w:val="0"/>
          <w:sz w:val="24"/>
        </w:rPr>
        <w:t>按</w:t>
      </w:r>
      <w:r>
        <w:rPr>
          <w:rFonts w:ascii="仿宋" w:hAnsi="仿宋" w:eastAsia="仿宋" w:cs="宋体"/>
          <w:kern w:val="0"/>
          <w:sz w:val="24"/>
        </w:rPr>
        <w:t>“</w:t>
      </w:r>
      <w:r>
        <w:rPr>
          <w:rFonts w:hint="eastAsia" w:ascii="仿宋" w:hAnsi="仿宋" w:eastAsia="仿宋" w:cs="宋体"/>
          <w:kern w:val="0"/>
          <w:sz w:val="24"/>
        </w:rPr>
        <w:t>一</w:t>
      </w:r>
      <w:r>
        <w:rPr>
          <w:rFonts w:ascii="仿宋" w:hAnsi="仿宋" w:eastAsia="仿宋" w:cs="宋体"/>
          <w:kern w:val="0"/>
          <w:sz w:val="24"/>
        </w:rPr>
        <w:t>、产品概述”</w:t>
      </w:r>
      <w:r>
        <w:rPr>
          <w:rFonts w:hint="eastAsia" w:ascii="仿宋" w:hAnsi="仿宋" w:eastAsia="仿宋" w:cs="宋体"/>
          <w:kern w:val="0"/>
          <w:sz w:val="24"/>
        </w:rPr>
        <w:t>“份额净值公告日”</w:t>
      </w:r>
      <w:r>
        <w:rPr>
          <w:rFonts w:ascii="仿宋" w:hAnsi="仿宋" w:eastAsia="仿宋" w:cs="宋体"/>
          <w:kern w:val="0"/>
          <w:sz w:val="24"/>
        </w:rPr>
        <w:t>约定披露产品净值</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ascii="仿宋" w:hAnsi="仿宋" w:eastAsia="仿宋" w:cs="宋体"/>
          <w:color w:val="000000"/>
          <w:kern w:val="0"/>
          <w:sz w:val="24"/>
        </w:rPr>
        <w:t>（二）理财产品临时</w:t>
      </w:r>
      <w:r>
        <w:rPr>
          <w:rFonts w:hint="eastAsia" w:ascii="仿宋" w:hAnsi="仿宋" w:eastAsia="仿宋" w:cs="宋体"/>
          <w:color w:val="000000"/>
          <w:kern w:val="0"/>
          <w:sz w:val="24"/>
        </w:rPr>
        <w:t>性</w:t>
      </w:r>
      <w:r>
        <w:rPr>
          <w:rFonts w:ascii="仿宋" w:hAnsi="仿宋" w:eastAsia="仿宋" w:cs="宋体"/>
          <w:color w:val="000000"/>
          <w:kern w:val="0"/>
          <w:sz w:val="24"/>
        </w:rPr>
        <w:t>信息披露</w:t>
      </w:r>
      <w:r>
        <w:rPr>
          <w:rFonts w:hint="eastAsia" w:ascii="仿宋" w:hAnsi="仿宋" w:eastAsia="仿宋" w:cs="宋体"/>
          <w:color w:val="000000"/>
          <w:kern w:val="0"/>
          <w:sz w:val="24"/>
        </w:rPr>
        <w:t>及重大事项公告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根据监管规定及业务需要，管理人可进行临时信息披露，涉及事项包括但不限于：管理人、托管人发生变更，理财产品投资非标准化债权类资产或信贷资产受（收）益权，</w:t>
      </w:r>
      <w:r>
        <w:rPr>
          <w:rFonts w:ascii="仿宋" w:hAnsi="仿宋" w:eastAsia="仿宋" w:cs="宋体"/>
          <w:kern w:val="0"/>
          <w:sz w:val="24"/>
        </w:rPr>
        <w:t>调整</w:t>
      </w:r>
      <w:r>
        <w:rPr>
          <w:rFonts w:hint="eastAsia" w:ascii="仿宋" w:hAnsi="仿宋" w:eastAsia="仿宋" w:cs="宋体"/>
          <w:kern w:val="0"/>
          <w:sz w:val="24"/>
        </w:rPr>
        <w:t>业绩比较基准以及</w:t>
      </w:r>
      <w:r>
        <w:rPr>
          <w:rFonts w:ascii="仿宋" w:hAnsi="仿宋" w:eastAsia="仿宋" w:cs="宋体"/>
          <w:kern w:val="0"/>
          <w:sz w:val="24"/>
        </w:rPr>
        <w:t>其他需披露的事项</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w:t>
      </w:r>
      <w:r>
        <w:rPr>
          <w:rFonts w:ascii="仿宋" w:hAnsi="仿宋" w:eastAsia="仿宋" w:cs="宋体"/>
          <w:color w:val="000000"/>
          <w:kern w:val="0"/>
          <w:sz w:val="24"/>
        </w:rPr>
        <w:t>本理财产品存续期间如发生华夏</w:t>
      </w:r>
      <w:r>
        <w:rPr>
          <w:rFonts w:hint="eastAsia" w:ascii="仿宋" w:hAnsi="仿宋" w:eastAsia="仿宋" w:cs="宋体"/>
          <w:color w:val="000000"/>
          <w:kern w:val="0"/>
          <w:sz w:val="24"/>
        </w:rPr>
        <w:t>理财</w:t>
      </w:r>
      <w:r>
        <w:rPr>
          <w:rFonts w:ascii="仿宋" w:hAnsi="仿宋" w:eastAsia="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hint="eastAsia" w:ascii="仿宋" w:hAnsi="仿宋" w:eastAsia="仿宋" w:cs="宋体"/>
          <w:color w:val="000000"/>
          <w:kern w:val="0"/>
          <w:sz w:val="24"/>
        </w:rPr>
        <w:t>理财将在事项发生后</w:t>
      </w:r>
      <w:r>
        <w:rPr>
          <w:rFonts w:ascii="仿宋" w:hAnsi="仿宋" w:eastAsia="仿宋" w:cs="宋体"/>
          <w:color w:val="000000"/>
          <w:kern w:val="0"/>
          <w:sz w:val="24"/>
        </w:rPr>
        <w:t>2</w:t>
      </w:r>
      <w:r>
        <w:rPr>
          <w:rFonts w:hint="eastAsia" w:ascii="仿宋" w:hAnsi="仿宋" w:eastAsia="仿宋" w:cs="宋体"/>
          <w:color w:val="000000"/>
          <w:kern w:val="0"/>
          <w:sz w:val="24"/>
        </w:rPr>
        <w:t>个</w:t>
      </w:r>
      <w:r>
        <w:rPr>
          <w:rFonts w:ascii="仿宋" w:hAnsi="仿宋" w:eastAsia="仿宋" w:cs="宋体"/>
          <w:color w:val="000000"/>
          <w:kern w:val="0"/>
          <w:sz w:val="24"/>
        </w:rPr>
        <w:t>工作</w:t>
      </w:r>
      <w:r>
        <w:rPr>
          <w:rFonts w:hint="eastAsia" w:ascii="仿宋" w:hAnsi="仿宋" w:eastAsia="仿宋" w:cs="宋体"/>
          <w:color w:val="000000"/>
          <w:kern w:val="0"/>
          <w:sz w:val="24"/>
        </w:rPr>
        <w:t>日内通过本产品说明书约定的信息披露渠道予以披露</w:t>
      </w:r>
      <w:r>
        <w:rPr>
          <w:rFonts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3.</w:t>
      </w:r>
      <w:r>
        <w:rPr>
          <w:rFonts w:ascii="仿宋" w:hAnsi="仿宋" w:eastAsia="仿宋" w:cs="宋体"/>
          <w:kern w:val="0"/>
          <w:sz w:val="24"/>
        </w:rPr>
        <w:t>管理人</w:t>
      </w:r>
      <w:r>
        <w:rPr>
          <w:rFonts w:hint="eastAsia" w:ascii="仿宋" w:hAnsi="仿宋" w:eastAsia="仿宋" w:cs="宋体"/>
          <w:kern w:val="0"/>
          <w:sz w:val="24"/>
        </w:rPr>
        <w:t>有权调整管理费（含</w:t>
      </w:r>
      <w:r>
        <w:rPr>
          <w:rFonts w:ascii="仿宋" w:hAnsi="仿宋" w:eastAsia="仿宋" w:cs="宋体"/>
          <w:kern w:val="0"/>
          <w:sz w:val="24"/>
        </w:rPr>
        <w:t>固定管理费、</w:t>
      </w:r>
      <w:r>
        <w:rPr>
          <w:rFonts w:hint="eastAsia" w:ascii="仿宋" w:hAnsi="仿宋" w:eastAsia="仿宋"/>
          <w:sz w:val="24"/>
        </w:rPr>
        <w:t>超额管理费</w:t>
      </w:r>
      <w:r>
        <w:rPr>
          <w:rFonts w:hint="eastAsia" w:ascii="仿宋" w:hAnsi="仿宋" w:eastAsia="仿宋" w:cs="宋体"/>
          <w:kern w:val="0"/>
          <w:sz w:val="24"/>
        </w:rPr>
        <w:t>）</w:t>
      </w:r>
      <w:r>
        <w:rPr>
          <w:rFonts w:ascii="仿宋" w:hAnsi="仿宋" w:eastAsia="仿宋" w:cs="宋体"/>
          <w:kern w:val="0"/>
          <w:sz w:val="24"/>
        </w:rPr>
        <w:t>、托管费、销售</w:t>
      </w:r>
      <w:r>
        <w:rPr>
          <w:rFonts w:hint="eastAsia" w:ascii="仿宋" w:hAnsi="仿宋" w:eastAsia="仿宋" w:cs="宋体"/>
          <w:kern w:val="0"/>
          <w:sz w:val="24"/>
        </w:rPr>
        <w:t>手续</w:t>
      </w:r>
      <w:r>
        <w:rPr>
          <w:rFonts w:ascii="仿宋" w:hAnsi="仿宋" w:eastAsia="仿宋" w:cs="宋体"/>
          <w:kern w:val="0"/>
          <w:sz w:val="24"/>
        </w:rPr>
        <w:t>费</w:t>
      </w:r>
      <w:r>
        <w:rPr>
          <w:rFonts w:hint="eastAsia" w:ascii="仿宋" w:hAnsi="仿宋" w:eastAsia="仿宋"/>
          <w:sz w:val="24"/>
        </w:rPr>
        <w:t>等费用</w:t>
      </w:r>
      <w:r>
        <w:rPr>
          <w:rFonts w:ascii="仿宋" w:hAnsi="仿宋" w:eastAsia="仿宋" w:cs="宋体"/>
          <w:kern w:val="0"/>
          <w:sz w:val="24"/>
        </w:rPr>
        <w:t>的</w:t>
      </w:r>
      <w:r>
        <w:rPr>
          <w:rFonts w:hint="eastAsia" w:ascii="仿宋" w:hAnsi="仿宋" w:eastAsia="仿宋" w:cs="宋体"/>
          <w:kern w:val="0"/>
          <w:sz w:val="24"/>
        </w:rPr>
        <w:t>收费项目、条件、标准和方式，并</w:t>
      </w:r>
      <w:r>
        <w:rPr>
          <w:rFonts w:ascii="仿宋" w:hAnsi="仿宋" w:eastAsia="仿宋" w:cs="宋体"/>
          <w:color w:val="000000"/>
          <w:kern w:val="0"/>
          <w:sz w:val="24"/>
        </w:rPr>
        <w:t>将于</w:t>
      </w:r>
      <w:r>
        <w:rPr>
          <w:rFonts w:hint="eastAsia" w:ascii="仿宋" w:hAnsi="仿宋" w:eastAsia="仿宋" w:cs="宋体"/>
          <w:color w:val="000000"/>
          <w:kern w:val="0"/>
          <w:sz w:val="24"/>
        </w:rPr>
        <w:t>上述调整生效</w:t>
      </w:r>
      <w:r>
        <w:rPr>
          <w:rFonts w:ascii="仿宋" w:hAnsi="仿宋" w:eastAsia="仿宋" w:cs="宋体"/>
          <w:color w:val="000000"/>
          <w:kern w:val="0"/>
          <w:sz w:val="24"/>
        </w:rPr>
        <w:t>日的前3个工作日</w:t>
      </w:r>
      <w:r>
        <w:rPr>
          <w:rFonts w:hint="eastAsia" w:ascii="仿宋" w:hAnsi="仿宋" w:eastAsia="仿宋" w:cs="宋体"/>
          <w:kern w:val="0"/>
          <w:sz w:val="24"/>
        </w:rPr>
        <w:t>通过</w:t>
      </w:r>
      <w:r>
        <w:rPr>
          <w:rFonts w:hint="eastAsia" w:ascii="仿宋" w:hAnsi="仿宋" w:eastAsia="仿宋" w:cs="宋体"/>
          <w:color w:val="000000"/>
          <w:kern w:val="0"/>
          <w:sz w:val="24"/>
        </w:rPr>
        <w:t>本产品说明书约定的信息披露渠道予以公告</w:t>
      </w:r>
      <w:r>
        <w:rPr>
          <w:rFonts w:hint="eastAsia" w:ascii="仿宋" w:hAnsi="仿宋" w:eastAsia="仿宋" w:cs="宋体"/>
          <w:kern w:val="0"/>
          <w:sz w:val="24"/>
        </w:rPr>
        <w:t>；其中，对于华夏理财增加费用名目、提高收费标准等对投资者利益产生实质不利影响的情形，投资者如不接受，可按</w:t>
      </w:r>
      <w:r>
        <w:rPr>
          <w:rFonts w:ascii="仿宋" w:hAnsi="仿宋" w:eastAsia="仿宋" w:cs="宋体"/>
          <w:kern w:val="0"/>
          <w:sz w:val="24"/>
        </w:rPr>
        <w:t>信息披露中确定的方式</w:t>
      </w:r>
      <w:r>
        <w:rPr>
          <w:rFonts w:hint="eastAsia" w:ascii="仿宋" w:hAnsi="仿宋" w:eastAsia="仿宋" w:cs="宋体"/>
          <w:kern w:val="0"/>
          <w:sz w:val="24"/>
        </w:rPr>
        <w:t>和</w:t>
      </w:r>
      <w:r>
        <w:rPr>
          <w:rFonts w:ascii="仿宋" w:hAnsi="仿宋" w:eastAsia="仿宋" w:cs="宋体"/>
          <w:kern w:val="0"/>
          <w:sz w:val="24"/>
        </w:rPr>
        <w:t>时限</w:t>
      </w:r>
      <w:r>
        <w:rPr>
          <w:rFonts w:hint="eastAsia" w:ascii="仿宋" w:hAnsi="仿宋" w:eastAsia="仿宋" w:cs="宋体"/>
          <w:kern w:val="0"/>
          <w:sz w:val="24"/>
        </w:rPr>
        <w:t>提前赎回本理财产品。</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4</w:t>
      </w:r>
      <w:r>
        <w:rPr>
          <w:rFonts w:hint="eastAsia" w:ascii="仿宋" w:hAnsi="仿宋" w:eastAsia="仿宋" w:cs="宋体"/>
          <w:kern w:val="0"/>
          <w:sz w:val="24"/>
        </w:rPr>
        <w:t>.</w:t>
      </w:r>
      <w:r>
        <w:rPr>
          <w:rFonts w:ascii="仿宋" w:hAnsi="仿宋" w:eastAsia="仿宋" w:cs="宋体"/>
          <w:kern w:val="0"/>
          <w:sz w:val="24"/>
        </w:rPr>
        <w:t>管理人</w:t>
      </w:r>
      <w:r>
        <w:rPr>
          <w:rFonts w:hint="eastAsia" w:ascii="仿宋" w:hAnsi="仿宋" w:eastAsia="仿宋" w:cs="宋体"/>
          <w:kern w:val="0"/>
          <w:sz w:val="24"/>
        </w:rPr>
        <w:t>有权根据市场情况调整本理财产品</w:t>
      </w:r>
      <w:r>
        <w:rPr>
          <w:rFonts w:ascii="仿宋" w:hAnsi="仿宋" w:eastAsia="仿宋" w:cs="宋体"/>
          <w:kern w:val="0"/>
          <w:sz w:val="24"/>
        </w:rPr>
        <w:t>的</w:t>
      </w:r>
      <w:r>
        <w:rPr>
          <w:rFonts w:hint="eastAsia" w:ascii="仿宋" w:hAnsi="仿宋" w:eastAsia="仿宋" w:cs="宋体"/>
          <w:kern w:val="0"/>
          <w:sz w:val="24"/>
        </w:rPr>
        <w:t>投资范围、投资资产种类或投资比例，并通过</w:t>
      </w:r>
      <w:r>
        <w:rPr>
          <w:rFonts w:hint="eastAsia" w:ascii="仿宋" w:hAnsi="仿宋" w:eastAsia="仿宋" w:cs="宋体"/>
          <w:color w:val="000000"/>
          <w:kern w:val="0"/>
          <w:sz w:val="24"/>
        </w:rPr>
        <w:t>本产品说明书约定的信息披露渠道予以公告</w:t>
      </w:r>
      <w:r>
        <w:rPr>
          <w:rFonts w:hint="eastAsia" w:ascii="仿宋" w:hAnsi="仿宋" w:eastAsia="仿宋" w:cs="宋体"/>
          <w:kern w:val="0"/>
          <w:sz w:val="24"/>
        </w:rPr>
        <w:t>。具体</w:t>
      </w:r>
      <w:r>
        <w:rPr>
          <w:rFonts w:ascii="仿宋" w:hAnsi="仿宋" w:eastAsia="仿宋" w:cs="宋体"/>
          <w:kern w:val="0"/>
          <w:sz w:val="24"/>
        </w:rPr>
        <w:t>规则详见</w:t>
      </w:r>
      <w:r>
        <w:rPr>
          <w:rFonts w:hint="eastAsia" w:ascii="仿宋" w:hAnsi="仿宋" w:eastAsia="仿宋" w:cs="宋体"/>
          <w:kern w:val="0"/>
          <w:sz w:val="24"/>
        </w:rPr>
        <w:t>“二</w:t>
      </w:r>
      <w:r>
        <w:rPr>
          <w:rFonts w:ascii="仿宋" w:hAnsi="仿宋" w:eastAsia="仿宋" w:cs="宋体"/>
          <w:kern w:val="0"/>
          <w:sz w:val="24"/>
        </w:rPr>
        <w:t>、投资对象</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仿宋"/>
          <w:b/>
          <w:kern w:val="0"/>
          <w:sz w:val="24"/>
        </w:rPr>
      </w:pPr>
      <w:r>
        <w:rPr>
          <w:rFonts w:ascii="仿宋" w:hAnsi="仿宋" w:eastAsia="仿宋" w:cs="宋体"/>
          <w:kern w:val="0"/>
          <w:sz w:val="24"/>
        </w:rPr>
        <w:t>5</w:t>
      </w:r>
      <w:r>
        <w:rPr>
          <w:rFonts w:hint="eastAsia" w:ascii="仿宋" w:hAnsi="仿宋" w:eastAsia="仿宋" w:cs="宋体"/>
          <w:kern w:val="0"/>
          <w:sz w:val="24"/>
        </w:rPr>
        <w:t>.</w:t>
      </w:r>
      <w:r>
        <w:rPr>
          <w:rFonts w:hint="eastAsia" w:ascii="仿宋" w:hAnsi="仿宋" w:eastAsia="仿宋" w:cs="仿宋"/>
          <w:kern w:val="0"/>
          <w:sz w:val="24"/>
        </w:rPr>
        <w:t>在发生涉及理财产品认（申）购、赎回事项调整或潜在影响投资者赎回等事项时，</w:t>
      </w:r>
      <w:r>
        <w:rPr>
          <w:rFonts w:ascii="仿宋" w:hAnsi="仿宋" w:eastAsia="仿宋" w:cs="宋体"/>
          <w:kern w:val="0"/>
          <w:sz w:val="24"/>
        </w:rPr>
        <w:t>管理人</w:t>
      </w:r>
      <w:r>
        <w:rPr>
          <w:rFonts w:hint="eastAsia" w:ascii="仿宋" w:hAnsi="仿宋" w:eastAsia="仿宋" w:cs="仿宋"/>
          <w:kern w:val="0"/>
          <w:sz w:val="24"/>
        </w:rPr>
        <w:t>将通过</w:t>
      </w:r>
      <w:r>
        <w:rPr>
          <w:rFonts w:hint="eastAsia" w:ascii="仿宋" w:hAnsi="仿宋" w:eastAsia="仿宋" w:cs="宋体"/>
          <w:color w:val="000000"/>
          <w:kern w:val="0"/>
          <w:sz w:val="24"/>
        </w:rPr>
        <w:t>本产品说明书约定的信息披露渠道</w:t>
      </w:r>
      <w:r>
        <w:rPr>
          <w:rFonts w:hint="eastAsia" w:ascii="仿宋" w:hAnsi="仿宋" w:eastAsia="仿宋" w:cs="仿宋"/>
          <w:kern w:val="0"/>
          <w:sz w:val="24"/>
        </w:rPr>
        <w:t>发布临时公告。</w:t>
      </w:r>
    </w:p>
    <w:p>
      <w:pPr>
        <w:autoSpaceDE w:val="0"/>
        <w:autoSpaceDN w:val="0"/>
        <w:adjustRightInd w:val="0"/>
        <w:snapToGrid w:val="0"/>
        <w:spacing w:line="276" w:lineRule="auto"/>
        <w:ind w:firstLine="480" w:firstLineChars="200"/>
        <w:rPr>
          <w:rFonts w:ascii="仿宋" w:hAnsi="仿宋" w:eastAsia="仿宋" w:cs="仿宋"/>
          <w:kern w:val="0"/>
          <w:sz w:val="24"/>
        </w:rPr>
      </w:pPr>
      <w:r>
        <w:rPr>
          <w:rFonts w:ascii="仿宋" w:hAnsi="仿宋" w:eastAsia="仿宋" w:cs="宋体"/>
          <w:kern w:val="0"/>
          <w:sz w:val="24"/>
        </w:rPr>
        <w:t>6</w:t>
      </w:r>
      <w:r>
        <w:rPr>
          <w:rFonts w:hint="eastAsia" w:ascii="仿宋" w:hAnsi="仿宋" w:eastAsia="仿宋" w:cs="宋体"/>
          <w:kern w:val="0"/>
          <w:sz w:val="24"/>
        </w:rPr>
        <w:t>.</w:t>
      </w:r>
      <w:r>
        <w:rPr>
          <w:rFonts w:hint="eastAsia" w:ascii="仿宋" w:hAnsi="仿宋" w:eastAsia="仿宋" w:cs="仿宋"/>
          <w:kern w:val="0"/>
          <w:sz w:val="24"/>
        </w:rPr>
        <w:t>在运用收取短期赎回费、摆动定价等措施后，</w:t>
      </w:r>
      <w:r>
        <w:rPr>
          <w:rFonts w:hint="eastAsia" w:ascii="仿宋" w:hAnsi="仿宋" w:eastAsia="仿宋" w:cs="宋体"/>
          <w:kern w:val="0"/>
          <w:sz w:val="24"/>
        </w:rPr>
        <w:t>管理人将</w:t>
      </w:r>
      <w:r>
        <w:rPr>
          <w:rFonts w:hint="eastAsia" w:ascii="仿宋" w:hAnsi="仿宋" w:eastAsia="仿宋" w:cs="仿宋"/>
          <w:kern w:val="0"/>
          <w:sz w:val="24"/>
        </w:rPr>
        <w:t>在3个工作日内，通过</w:t>
      </w:r>
      <w:r>
        <w:rPr>
          <w:rFonts w:hint="eastAsia" w:ascii="仿宋" w:hAnsi="仿宋" w:eastAsia="仿宋" w:cs="宋体"/>
          <w:kern w:val="0"/>
          <w:sz w:val="24"/>
        </w:rPr>
        <w:t>本产品说明书约定的信息披露渠道披露</w:t>
      </w:r>
      <w:r>
        <w:rPr>
          <w:rFonts w:hint="eastAsia" w:ascii="仿宋" w:hAnsi="仿宋" w:eastAsia="仿宋" w:cs="仿宋"/>
          <w:kern w:val="0"/>
          <w:sz w:val="24"/>
        </w:rPr>
        <w:t>相关信息。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kern w:val="0"/>
          <w:sz w:val="24"/>
        </w:rPr>
        <w:t>7．</w:t>
      </w:r>
      <w:r>
        <w:rPr>
          <w:rFonts w:hint="eastAsia" w:ascii="仿宋" w:hAnsi="仿宋" w:eastAsia="仿宋" w:cs="仿宋"/>
          <w:kern w:val="0"/>
          <w:sz w:val="24"/>
        </w:rPr>
        <w:t>在运用暂停认（申）购、延期办理巨额赎回申请、暂停接受赎回申请、延缓支付赎回款项、暂停理财产品估值等措施后，</w:t>
      </w:r>
      <w:r>
        <w:rPr>
          <w:rFonts w:hint="eastAsia" w:ascii="仿宋" w:hAnsi="仿宋" w:eastAsia="仿宋" w:cs="宋体"/>
          <w:kern w:val="0"/>
          <w:sz w:val="24"/>
        </w:rPr>
        <w:t>管理人</w:t>
      </w:r>
      <w:r>
        <w:rPr>
          <w:rFonts w:hint="eastAsia" w:ascii="仿宋" w:hAnsi="仿宋" w:eastAsia="仿宋" w:cs="仿宋"/>
          <w:kern w:val="0"/>
          <w:sz w:val="24"/>
        </w:rPr>
        <w:t>将在3个工作日内，通过</w:t>
      </w:r>
      <w:r>
        <w:rPr>
          <w:rFonts w:hint="eastAsia" w:ascii="仿宋" w:hAnsi="仿宋" w:eastAsia="仿宋" w:cs="宋体"/>
          <w:kern w:val="0"/>
          <w:sz w:val="24"/>
        </w:rPr>
        <w:t>本产品说明书约定的信息披露渠道披露</w:t>
      </w:r>
      <w:r>
        <w:rPr>
          <w:rFonts w:hint="eastAsia" w:ascii="仿宋" w:hAnsi="仿宋" w:eastAsia="仿宋" w:cs="仿宋"/>
          <w:kern w:val="0"/>
          <w:sz w:val="24"/>
        </w:rPr>
        <w:t>相关信息，并说明运用相关措施的原因、拟采取的应对安排等。</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ascii="仿宋" w:hAnsi="仿宋" w:eastAsia="仿宋" w:cs="宋体"/>
          <w:kern w:val="0"/>
          <w:sz w:val="24"/>
        </w:rPr>
        <w:t>（</w:t>
      </w:r>
      <w:r>
        <w:rPr>
          <w:rFonts w:hint="eastAsia" w:ascii="仿宋" w:hAnsi="仿宋" w:eastAsia="仿宋" w:cs="宋体"/>
          <w:kern w:val="0"/>
          <w:sz w:val="24"/>
        </w:rPr>
        <w:t>三</w:t>
      </w:r>
      <w:r>
        <w:rPr>
          <w:rFonts w:ascii="仿宋" w:hAnsi="仿宋" w:eastAsia="仿宋" w:cs="宋体"/>
          <w:kern w:val="0"/>
          <w:sz w:val="24"/>
        </w:rPr>
        <w:t>）</w:t>
      </w:r>
      <w:r>
        <w:rPr>
          <w:rFonts w:hint="eastAsia" w:ascii="仿宋" w:hAnsi="仿宋" w:eastAsia="仿宋" w:cs="宋体"/>
          <w:kern w:val="0"/>
          <w:sz w:val="24"/>
        </w:rPr>
        <w:t>管理人</w:t>
      </w:r>
      <w:r>
        <w:rPr>
          <w:rFonts w:ascii="仿宋" w:hAnsi="仿宋" w:eastAsia="仿宋" w:cs="宋体"/>
          <w:kern w:val="0"/>
          <w:sz w:val="24"/>
        </w:rPr>
        <w:t>信息披露</w:t>
      </w:r>
      <w:r>
        <w:rPr>
          <w:rFonts w:hint="eastAsia" w:ascii="仿宋" w:hAnsi="仿宋" w:eastAsia="仿宋" w:cs="宋体"/>
          <w:kern w:val="0"/>
          <w:sz w:val="24"/>
        </w:rPr>
        <w:t>的方式</w:t>
      </w:r>
      <w:r>
        <w:rPr>
          <w:rFonts w:ascii="仿宋" w:hAnsi="仿宋" w:eastAsia="仿宋" w:cs="宋体"/>
          <w:kern w:val="0"/>
          <w:sz w:val="24"/>
        </w:rPr>
        <w:t>及披露渠道</w:t>
      </w:r>
    </w:p>
    <w:p>
      <w:pPr>
        <w:autoSpaceDE w:val="0"/>
        <w:autoSpaceDN w:val="0"/>
        <w:adjustRightInd w:val="0"/>
        <w:snapToGrid w:val="0"/>
        <w:spacing w:line="276" w:lineRule="auto"/>
        <w:ind w:firstLine="482" w:firstLineChars="200"/>
        <w:contextualSpacing/>
        <w:rPr>
          <w:rFonts w:ascii="仿宋" w:hAnsi="仿宋" w:eastAsia="仿宋" w:cs="宋体"/>
          <w:kern w:val="0"/>
          <w:sz w:val="24"/>
        </w:rPr>
      </w:pPr>
      <w:r>
        <w:rPr>
          <w:rFonts w:hint="eastAsia" w:ascii="仿宋" w:hAnsi="仿宋" w:eastAsia="仿宋" w:cs="宋体"/>
          <w:b/>
          <w:kern w:val="0"/>
          <w:sz w:val="24"/>
        </w:rPr>
        <w:t>管理人将通过</w:t>
      </w:r>
      <w:r>
        <w:rPr>
          <w:rFonts w:ascii="仿宋" w:hAnsi="仿宋" w:eastAsia="仿宋" w:cs="宋体"/>
          <w:b/>
          <w:kern w:val="0"/>
          <w:sz w:val="24"/>
        </w:rPr>
        <w:t>华夏银行</w:t>
      </w:r>
      <w:r>
        <w:rPr>
          <w:rFonts w:hint="eastAsia" w:ascii="仿宋" w:hAnsi="仿宋" w:eastAsia="仿宋" w:cs="宋体"/>
          <w:b/>
          <w:kern w:val="0"/>
          <w:sz w:val="24"/>
        </w:rPr>
        <w:t>官方</w:t>
      </w:r>
      <w:r>
        <w:rPr>
          <w:rFonts w:ascii="仿宋" w:hAnsi="仿宋" w:eastAsia="仿宋" w:cs="宋体"/>
          <w:b/>
          <w:kern w:val="0"/>
          <w:sz w:val="24"/>
        </w:rPr>
        <w:t>网站、</w:t>
      </w:r>
      <w:r>
        <w:rPr>
          <w:rFonts w:hint="eastAsia" w:ascii="仿宋" w:hAnsi="仿宋" w:eastAsia="仿宋" w:cs="宋体"/>
          <w:b/>
          <w:kern w:val="0"/>
          <w:sz w:val="24"/>
        </w:rPr>
        <w:t>代销</w:t>
      </w:r>
      <w:r>
        <w:rPr>
          <w:rFonts w:ascii="仿宋" w:hAnsi="仿宋" w:eastAsia="仿宋" w:cs="宋体"/>
          <w:b/>
          <w:kern w:val="0"/>
          <w:sz w:val="24"/>
        </w:rPr>
        <w:t>机构（如有）信息披露渠道</w:t>
      </w:r>
      <w:r>
        <w:rPr>
          <w:rFonts w:hint="eastAsia" w:ascii="仿宋" w:hAnsi="仿宋" w:eastAsia="仿宋" w:cs="宋体"/>
          <w:b/>
          <w:kern w:val="0"/>
          <w:sz w:val="24"/>
        </w:rPr>
        <w:t>等进行</w:t>
      </w:r>
      <w:r>
        <w:rPr>
          <w:rFonts w:ascii="仿宋" w:hAnsi="仿宋" w:eastAsia="仿宋" w:cs="宋体"/>
          <w:b/>
          <w:kern w:val="0"/>
          <w:sz w:val="24"/>
        </w:rPr>
        <w:t>上述信息的披露。投资者应</w:t>
      </w:r>
      <w:r>
        <w:rPr>
          <w:rFonts w:hint="eastAsia" w:ascii="仿宋" w:hAnsi="仿宋" w:eastAsia="仿宋" w:cs="宋体"/>
          <w:b/>
          <w:kern w:val="0"/>
          <w:sz w:val="24"/>
        </w:rPr>
        <w:t>持续</w:t>
      </w:r>
      <w:r>
        <w:rPr>
          <w:rFonts w:ascii="仿宋" w:hAnsi="仿宋" w:eastAsia="仿宋" w:cs="宋体"/>
          <w:b/>
          <w:kern w:val="0"/>
          <w:sz w:val="24"/>
        </w:rPr>
        <w:t>通过上述渠道获知有关信息或</w:t>
      </w:r>
      <w:r>
        <w:rPr>
          <w:rFonts w:hint="eastAsia" w:ascii="仿宋" w:hAnsi="仿宋" w:eastAsia="仿宋" w:cs="宋体"/>
          <w:b/>
          <w:kern w:val="0"/>
          <w:sz w:val="24"/>
        </w:rPr>
        <w:t>主动</w:t>
      </w:r>
      <w:r>
        <w:rPr>
          <w:rFonts w:ascii="仿宋" w:hAnsi="仿宋" w:eastAsia="仿宋" w:cs="宋体"/>
          <w:b/>
          <w:kern w:val="0"/>
          <w:sz w:val="24"/>
        </w:rPr>
        <w:t>致电华夏银行全国统一投资者服务热线（</w:t>
      </w:r>
      <w:r>
        <w:rPr>
          <w:rFonts w:hint="eastAsia" w:ascii="仿宋" w:hAnsi="仿宋" w:eastAsia="仿宋" w:cs="宋体"/>
          <w:b/>
          <w:kern w:val="0"/>
          <w:sz w:val="24"/>
        </w:rPr>
        <w:t>95</w:t>
      </w:r>
      <w:r>
        <w:rPr>
          <w:rFonts w:ascii="仿宋" w:hAnsi="仿宋" w:eastAsia="仿宋" w:cs="宋体"/>
          <w:b/>
          <w:kern w:val="0"/>
          <w:sz w:val="24"/>
        </w:rPr>
        <w:t>577）查询</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hint="eastAsia" w:ascii="仿宋" w:hAnsi="仿宋" w:eastAsia="仿宋" w:cs="宋体"/>
          <w:kern w:val="0"/>
          <w:sz w:val="24"/>
        </w:rPr>
        <w:t>（四）投资者关于信息披露的确认</w:t>
      </w:r>
    </w:p>
    <w:p>
      <w:pPr>
        <w:spacing w:after="156" w:afterLines="50" w:line="276" w:lineRule="auto"/>
        <w:ind w:firstLine="480"/>
        <w:contextualSpacing/>
        <w:rPr>
          <w:rFonts w:ascii="仿宋" w:hAnsi="仿宋" w:eastAsia="仿宋"/>
        </w:rPr>
      </w:pPr>
      <w:r>
        <w:rPr>
          <w:rFonts w:hint="eastAsia" w:ascii="仿宋" w:hAnsi="仿宋" w:eastAsia="仿宋" w:cs="宋体"/>
          <w:kern w:val="0"/>
          <w:sz w:val="24"/>
        </w:rPr>
        <w:t>投资者确认并同意管理人可以通过上述方式披露理财</w:t>
      </w:r>
      <w:r>
        <w:rPr>
          <w:rFonts w:ascii="仿宋" w:hAnsi="仿宋" w:eastAsia="仿宋" w:cs="宋体"/>
          <w:kern w:val="0"/>
          <w:sz w:val="24"/>
        </w:rPr>
        <w:t>产品</w:t>
      </w:r>
      <w:r>
        <w:rPr>
          <w:rFonts w:hint="eastAsia" w:ascii="仿宋" w:hAnsi="仿宋" w:eastAsia="仿宋" w:cs="宋体"/>
          <w:kern w:val="0"/>
          <w:sz w:val="24"/>
        </w:rPr>
        <w:t>信息。投资者应及时、主动通过上述信息披露渠道浏览并阅读理财</w:t>
      </w:r>
      <w:r>
        <w:rPr>
          <w:rFonts w:ascii="仿宋" w:hAnsi="仿宋" w:eastAsia="仿宋" w:cs="宋体"/>
          <w:kern w:val="0"/>
          <w:sz w:val="24"/>
        </w:rPr>
        <w:t>产品</w:t>
      </w:r>
      <w:r>
        <w:rPr>
          <w:rFonts w:hint="eastAsia" w:ascii="仿宋" w:hAnsi="仿宋" w:eastAsia="仿宋" w:cs="宋体"/>
          <w:kern w:val="0"/>
          <w:sz w:val="24"/>
        </w:rPr>
        <w:t>信息及公告。</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十、</w:t>
      </w:r>
      <w:r>
        <w:rPr>
          <w:rFonts w:ascii="Times New Roman" w:eastAsia="黑体" w:cs="Times New Roman"/>
          <w:b/>
          <w:color w:val="auto"/>
        </w:rPr>
        <w:t>特别提示</w:t>
      </w:r>
    </w:p>
    <w:p>
      <w:pPr>
        <w:autoSpaceDE w:val="0"/>
        <w:autoSpaceDN w:val="0"/>
        <w:adjustRightInd w:val="0"/>
        <w:snapToGrid w:val="0"/>
        <w:spacing w:line="276" w:lineRule="auto"/>
        <w:ind w:firstLine="482" w:firstLineChars="200"/>
        <w:contextualSpacing/>
        <w:rPr>
          <w:rFonts w:ascii="黑体" w:hAnsi="黑体" w:eastAsia="黑体" w:cs="黑体"/>
          <w:b/>
          <w:bCs/>
          <w:color w:val="000000"/>
          <w:kern w:val="0"/>
          <w:sz w:val="24"/>
        </w:rPr>
      </w:pPr>
      <w:r>
        <w:rPr>
          <w:rFonts w:hint="eastAsia" w:ascii="黑体" w:hAnsi="黑体" w:eastAsia="黑体" w:cs="黑体"/>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本</w:t>
      </w:r>
      <w:r>
        <w:rPr>
          <w:rFonts w:hint="eastAsia" w:ascii="仿宋" w:hAnsi="仿宋" w:eastAsia="仿宋" w:cs="宋体"/>
          <w:color w:val="000000"/>
          <w:kern w:val="0"/>
          <w:sz w:val="24"/>
        </w:rPr>
        <w:t>理财</w:t>
      </w:r>
      <w:r>
        <w:rPr>
          <w:rFonts w:ascii="仿宋" w:hAnsi="仿宋" w:eastAsia="仿宋" w:cs="宋体"/>
          <w:color w:val="000000"/>
          <w:kern w:val="0"/>
          <w:sz w:val="24"/>
        </w:rPr>
        <w:t>产品说明书</w:t>
      </w:r>
      <w:r>
        <w:rPr>
          <w:rFonts w:hint="eastAsia" w:ascii="仿宋" w:hAnsi="仿宋" w:eastAsia="仿宋" w:cs="宋体"/>
          <w:color w:val="000000"/>
          <w:kern w:val="0"/>
          <w:sz w:val="24"/>
        </w:rPr>
        <w:t>与理财产品销售/代理销售协议书、理财产品投资协议书、理财产品风险揭示书和投资者权益须知共同组成投资者与华夏理财之间理财产品合同的不可分割之组成部分</w:t>
      </w:r>
      <w:r>
        <w:rPr>
          <w:rFonts w:ascii="仿宋" w:hAnsi="仿宋" w:eastAsia="仿宋" w:cs="宋体"/>
          <w:color w:val="000000"/>
          <w:kern w:val="0"/>
          <w:sz w:val="24"/>
        </w:rPr>
        <w:t>。若投资者对本产品说明书的内容有任何疑问，请向华夏</w:t>
      </w:r>
      <w:r>
        <w:rPr>
          <w:rFonts w:hint="eastAsia" w:ascii="仿宋" w:hAnsi="仿宋" w:eastAsia="仿宋" w:cs="宋体"/>
          <w:color w:val="000000"/>
          <w:kern w:val="0"/>
          <w:sz w:val="24"/>
        </w:rPr>
        <w:t>理财/代销机构</w:t>
      </w:r>
      <w:r>
        <w:rPr>
          <w:rFonts w:ascii="仿宋" w:hAnsi="仿宋" w:eastAsia="仿宋" w:cs="宋体"/>
          <w:color w:val="000000"/>
          <w:kern w:val="0"/>
          <w:sz w:val="24"/>
        </w:rPr>
        <w:t>咨询。</w:t>
      </w:r>
    </w:p>
    <w:p>
      <w:pPr>
        <w:widowControl/>
        <w:adjustRightInd w:val="0"/>
        <w:snapToGrid w:val="0"/>
        <w:spacing w:line="276" w:lineRule="auto"/>
        <w:ind w:firstLine="482" w:firstLineChars="200"/>
        <w:contextualSpacing/>
        <w:rPr>
          <w:rFonts w:eastAsia="黑体"/>
          <w:b/>
        </w:rPr>
      </w:pPr>
      <w:r>
        <w:rPr>
          <w:rFonts w:eastAsia="黑体"/>
          <w:b/>
          <w:bCs/>
          <w:sz w:val="24"/>
        </w:rPr>
        <w:t>投资者在</w:t>
      </w:r>
      <w:r>
        <w:rPr>
          <w:rFonts w:hint="eastAsia" w:eastAsia="黑体"/>
          <w:b/>
          <w:bCs/>
          <w:sz w:val="24"/>
        </w:rPr>
        <w:t>购买</w:t>
      </w:r>
      <w:r>
        <w:rPr>
          <w:rFonts w:eastAsia="黑体"/>
          <w:b/>
          <w:bCs/>
          <w:sz w:val="24"/>
        </w:rPr>
        <w:t>理财产品前已阅读本理财产品风险</w:t>
      </w:r>
      <w:r>
        <w:rPr>
          <w:rFonts w:hint="eastAsia" w:eastAsia="黑体"/>
          <w:b/>
          <w:bCs/>
          <w:sz w:val="24"/>
        </w:rPr>
        <w:t>揭示内容</w:t>
      </w:r>
      <w:r>
        <w:rPr>
          <w:rFonts w:eastAsia="黑体"/>
          <w:b/>
          <w:bCs/>
          <w:sz w:val="24"/>
        </w:rPr>
        <w:t>，充分了解并知晓本理财产品的风险，自愿承担</w:t>
      </w:r>
      <w:r>
        <w:rPr>
          <w:rFonts w:hint="eastAsia" w:eastAsia="黑体"/>
          <w:b/>
          <w:bCs/>
          <w:sz w:val="24"/>
        </w:rPr>
        <w:t>相应</w:t>
      </w:r>
      <w:r>
        <w:rPr>
          <w:rFonts w:eastAsia="黑体"/>
          <w:b/>
          <w:bCs/>
          <w:sz w:val="24"/>
        </w:rPr>
        <w:t>风险，并授权华夏</w:t>
      </w:r>
      <w:r>
        <w:rPr>
          <w:rFonts w:hint="eastAsia" w:eastAsia="黑体"/>
          <w:b/>
          <w:bCs/>
          <w:sz w:val="24"/>
        </w:rPr>
        <w:t>理财</w:t>
      </w:r>
      <w:r>
        <w:rPr>
          <w:rFonts w:eastAsia="黑体"/>
          <w:b/>
          <w:bCs/>
          <w:sz w:val="24"/>
        </w:rPr>
        <w:t>根据本</w:t>
      </w:r>
      <w:r>
        <w:rPr>
          <w:rFonts w:hint="eastAsia" w:eastAsia="黑体"/>
          <w:b/>
          <w:bCs/>
          <w:sz w:val="24"/>
        </w:rPr>
        <w:t>产品说明书约定</w:t>
      </w:r>
      <w:r>
        <w:rPr>
          <w:rFonts w:eastAsia="黑体"/>
          <w:b/>
          <w:bCs/>
          <w:sz w:val="24"/>
        </w:rPr>
        <w:t>投资。</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十一、说明书签署及生效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如客户通过</w:t>
      </w:r>
      <w:bookmarkStart w:id="3" w:name="_Hlk76384810"/>
      <w:r>
        <w:rPr>
          <w:rFonts w:hint="eastAsia" w:ascii="仿宋" w:hAnsi="仿宋" w:eastAsia="仿宋" w:cs="宋体"/>
          <w:kern w:val="0"/>
          <w:sz w:val="24"/>
        </w:rPr>
        <w:t>华夏理财/代销机构</w:t>
      </w:r>
      <w:bookmarkEnd w:id="3"/>
      <w:r>
        <w:rPr>
          <w:rFonts w:hint="eastAsia" w:ascii="仿宋" w:hAnsi="仿宋" w:eastAsia="仿宋" w:cs="宋体"/>
          <w:kern w:val="0"/>
          <w:sz w:val="24"/>
        </w:rPr>
        <w:t>网点的柜面渠道购买本理财产品，本产品说明书经自然人客户签字/法人或其他组织客户的法定代表人或授权代表签章并加盖公章、成功缴纳购买资金，并经华夏理财系统确认购买份额之日起生效。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如客户通过华夏理财/代销机构电子渠道购买本理财产品，本产品说明书自客户通过电子渠道确认同意，完成购买资金划付，并经华夏理财系统确认购买份额之日起生效。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投资者自然人</w:t>
      </w:r>
      <w:r>
        <w:rPr>
          <w:rFonts w:ascii="仿宋" w:hAnsi="仿宋" w:eastAsia="仿宋" w:cs="宋体"/>
          <w:color w:val="000000"/>
          <w:kern w:val="0"/>
          <w:sz w:val="24"/>
        </w:rPr>
        <w:t>（</w:t>
      </w:r>
      <w:r>
        <w:rPr>
          <w:rFonts w:hint="eastAsia" w:ascii="仿宋" w:hAnsi="仿宋" w:eastAsia="仿宋" w:cs="宋体"/>
          <w:color w:val="000000"/>
          <w:kern w:val="0"/>
          <w:sz w:val="24"/>
        </w:rPr>
        <w:t>签字或线上确认同意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（或）法人或其他组织（盖章或线上确认同意）：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法定代表人或授权代表（签章或线上确认同意）：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                                      </w:t>
      </w:r>
      <w:r>
        <w:rPr>
          <w:rFonts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管理人：华夏理财有限责任公司 </w:t>
      </w: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pPr>
      <w:r>
        <w:rPr>
          <w:rFonts w:hint="eastAsia" w:ascii="仿宋" w:hAnsi="仿宋" w:eastAsia="仿宋" w:cs="宋体"/>
          <w:color w:val="000000"/>
        </w:rPr>
        <w:t xml:space="preserve">日期：  </w:t>
      </w:r>
      <w:r>
        <w:rPr>
          <w:rFonts w:ascii="仿宋" w:hAnsi="仿宋" w:eastAsia="仿宋" w:cs="宋体"/>
          <w:color w:val="000000"/>
        </w:rPr>
        <w:t xml:space="preserve">   年     月    日            </w:t>
      </w:r>
      <w:r>
        <w:rPr>
          <w:rFonts w:hint="eastAsia" w:ascii="仿宋" w:hAnsi="仿宋" w:eastAsia="仿宋" w:cs="宋体"/>
          <w:color w:val="000000"/>
          <w:kern w:val="0"/>
          <w:sz w:val="24"/>
        </w:rPr>
        <w:t xml:space="preserve">              </w:t>
      </w:r>
    </w:p>
    <w:sectPr>
      <w:headerReference r:id="rId5"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微软简仿宋">
    <w:panose1 w:val="00000000000000000000"/>
    <w:charset w:val="86"/>
    <w:family w:val="auto"/>
    <w:pitch w:val="default"/>
    <w:sig w:usb0="00000000" w:usb1="00000000" w:usb2="00000000" w:usb3="00000000" w:csb0="00000000" w:csb1="00000000"/>
  </w:font>
  <w:font w:name="Arial Unicode MS">
    <w:panose1 w:val="020B0604020202020204"/>
    <w:charset w:val="86"/>
    <w:family w:val="swiss"/>
    <w:pitch w:val="default"/>
    <w:sig w:usb0="FFFFFFFF" w:usb1="E9FFFFFF" w:usb2="0000003F" w:usb3="00000000" w:csb0="603F01FF" w:csb1="FFFF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2FF" w:usb1="400004FF"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1"/>
      </w:pBdr>
      <w:spacing w:line="360" w:lineRule="auto"/>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408C"/>
    <w:rsid w:val="00020F81"/>
    <w:rsid w:val="00031A25"/>
    <w:rsid w:val="000415EF"/>
    <w:rsid w:val="0004485A"/>
    <w:rsid w:val="00044B7F"/>
    <w:rsid w:val="0004783E"/>
    <w:rsid w:val="0006081B"/>
    <w:rsid w:val="00063561"/>
    <w:rsid w:val="000713E1"/>
    <w:rsid w:val="0007571C"/>
    <w:rsid w:val="000763B3"/>
    <w:rsid w:val="000805E4"/>
    <w:rsid w:val="00083ED3"/>
    <w:rsid w:val="00085777"/>
    <w:rsid w:val="00092E28"/>
    <w:rsid w:val="000932F8"/>
    <w:rsid w:val="000950EC"/>
    <w:rsid w:val="000973A7"/>
    <w:rsid w:val="000A2EE9"/>
    <w:rsid w:val="000A3C07"/>
    <w:rsid w:val="000A78E8"/>
    <w:rsid w:val="000B2154"/>
    <w:rsid w:val="000B3204"/>
    <w:rsid w:val="000B32CF"/>
    <w:rsid w:val="000C2AA9"/>
    <w:rsid w:val="000D002A"/>
    <w:rsid w:val="000D7DE2"/>
    <w:rsid w:val="000E195A"/>
    <w:rsid w:val="000F7A80"/>
    <w:rsid w:val="00111BDB"/>
    <w:rsid w:val="0011683A"/>
    <w:rsid w:val="00122760"/>
    <w:rsid w:val="001260F4"/>
    <w:rsid w:val="001318D7"/>
    <w:rsid w:val="001322B8"/>
    <w:rsid w:val="00141481"/>
    <w:rsid w:val="001423F3"/>
    <w:rsid w:val="00142652"/>
    <w:rsid w:val="00146323"/>
    <w:rsid w:val="001632DE"/>
    <w:rsid w:val="00166999"/>
    <w:rsid w:val="00167A6E"/>
    <w:rsid w:val="00170760"/>
    <w:rsid w:val="00170B89"/>
    <w:rsid w:val="00171956"/>
    <w:rsid w:val="00172A27"/>
    <w:rsid w:val="00176E76"/>
    <w:rsid w:val="001861EC"/>
    <w:rsid w:val="00192AD3"/>
    <w:rsid w:val="0019771D"/>
    <w:rsid w:val="001A0DF1"/>
    <w:rsid w:val="001B007A"/>
    <w:rsid w:val="001B29E5"/>
    <w:rsid w:val="001B2C46"/>
    <w:rsid w:val="001D5895"/>
    <w:rsid w:val="001D6DB9"/>
    <w:rsid w:val="001E4307"/>
    <w:rsid w:val="001F043A"/>
    <w:rsid w:val="001F1829"/>
    <w:rsid w:val="001F21AD"/>
    <w:rsid w:val="001F4C9F"/>
    <w:rsid w:val="00203B96"/>
    <w:rsid w:val="002110F9"/>
    <w:rsid w:val="00213437"/>
    <w:rsid w:val="00214B23"/>
    <w:rsid w:val="00216CAD"/>
    <w:rsid w:val="00220E75"/>
    <w:rsid w:val="00230B93"/>
    <w:rsid w:val="00244A0E"/>
    <w:rsid w:val="002473CD"/>
    <w:rsid w:val="00260FED"/>
    <w:rsid w:val="00265998"/>
    <w:rsid w:val="00271B2B"/>
    <w:rsid w:val="00277CAB"/>
    <w:rsid w:val="00282724"/>
    <w:rsid w:val="00293AA7"/>
    <w:rsid w:val="00294355"/>
    <w:rsid w:val="002A26F8"/>
    <w:rsid w:val="002A2967"/>
    <w:rsid w:val="002A2FEF"/>
    <w:rsid w:val="002C7F16"/>
    <w:rsid w:val="002E56BD"/>
    <w:rsid w:val="002E5919"/>
    <w:rsid w:val="002E7F9D"/>
    <w:rsid w:val="0030422A"/>
    <w:rsid w:val="00311DBF"/>
    <w:rsid w:val="00311EF5"/>
    <w:rsid w:val="00313F87"/>
    <w:rsid w:val="00317858"/>
    <w:rsid w:val="003248AF"/>
    <w:rsid w:val="00351C38"/>
    <w:rsid w:val="003522B1"/>
    <w:rsid w:val="00357F0B"/>
    <w:rsid w:val="00362E0F"/>
    <w:rsid w:val="0036318A"/>
    <w:rsid w:val="00365E5C"/>
    <w:rsid w:val="00367563"/>
    <w:rsid w:val="003723AE"/>
    <w:rsid w:val="00375CE6"/>
    <w:rsid w:val="0038373F"/>
    <w:rsid w:val="003923B3"/>
    <w:rsid w:val="003A4560"/>
    <w:rsid w:val="003B43C0"/>
    <w:rsid w:val="003C0388"/>
    <w:rsid w:val="003C51E8"/>
    <w:rsid w:val="003C5A8A"/>
    <w:rsid w:val="003C7D21"/>
    <w:rsid w:val="003D2B76"/>
    <w:rsid w:val="003D55AF"/>
    <w:rsid w:val="003D65A8"/>
    <w:rsid w:val="003E4BEB"/>
    <w:rsid w:val="003F1B6F"/>
    <w:rsid w:val="003F5AF4"/>
    <w:rsid w:val="003F6114"/>
    <w:rsid w:val="003F7EA5"/>
    <w:rsid w:val="004021F4"/>
    <w:rsid w:val="00422249"/>
    <w:rsid w:val="0042748A"/>
    <w:rsid w:val="0043490E"/>
    <w:rsid w:val="0043495C"/>
    <w:rsid w:val="00440BC3"/>
    <w:rsid w:val="00440F4D"/>
    <w:rsid w:val="0045546E"/>
    <w:rsid w:val="00456C1F"/>
    <w:rsid w:val="00462536"/>
    <w:rsid w:val="004734C8"/>
    <w:rsid w:val="00474458"/>
    <w:rsid w:val="00484075"/>
    <w:rsid w:val="0049300B"/>
    <w:rsid w:val="00494748"/>
    <w:rsid w:val="004950C5"/>
    <w:rsid w:val="00495582"/>
    <w:rsid w:val="004A7A7E"/>
    <w:rsid w:val="004B06AD"/>
    <w:rsid w:val="004B07F8"/>
    <w:rsid w:val="004B2908"/>
    <w:rsid w:val="004B4F8B"/>
    <w:rsid w:val="004C1CD0"/>
    <w:rsid w:val="004C4084"/>
    <w:rsid w:val="004C6D16"/>
    <w:rsid w:val="004D4D75"/>
    <w:rsid w:val="004E7D97"/>
    <w:rsid w:val="004F0884"/>
    <w:rsid w:val="004F2A31"/>
    <w:rsid w:val="004F4E81"/>
    <w:rsid w:val="004F648F"/>
    <w:rsid w:val="005003F0"/>
    <w:rsid w:val="00501BB4"/>
    <w:rsid w:val="005114E6"/>
    <w:rsid w:val="00512B7C"/>
    <w:rsid w:val="0052572E"/>
    <w:rsid w:val="00532BEE"/>
    <w:rsid w:val="00540411"/>
    <w:rsid w:val="00557F33"/>
    <w:rsid w:val="005604F6"/>
    <w:rsid w:val="00560CC1"/>
    <w:rsid w:val="005727C8"/>
    <w:rsid w:val="00576EC5"/>
    <w:rsid w:val="005835EB"/>
    <w:rsid w:val="005A6E67"/>
    <w:rsid w:val="005B536D"/>
    <w:rsid w:val="005C08EC"/>
    <w:rsid w:val="005C120E"/>
    <w:rsid w:val="005D3AAF"/>
    <w:rsid w:val="005D5649"/>
    <w:rsid w:val="005E28E4"/>
    <w:rsid w:val="005E4248"/>
    <w:rsid w:val="005E4DED"/>
    <w:rsid w:val="005E7E9C"/>
    <w:rsid w:val="005F45E5"/>
    <w:rsid w:val="005F5E1E"/>
    <w:rsid w:val="005F66E4"/>
    <w:rsid w:val="005F7E82"/>
    <w:rsid w:val="00602ED4"/>
    <w:rsid w:val="006075D0"/>
    <w:rsid w:val="006119D9"/>
    <w:rsid w:val="00613BD1"/>
    <w:rsid w:val="00615330"/>
    <w:rsid w:val="0065248A"/>
    <w:rsid w:val="00656FE9"/>
    <w:rsid w:val="00662200"/>
    <w:rsid w:val="00670595"/>
    <w:rsid w:val="00677437"/>
    <w:rsid w:val="00681E3A"/>
    <w:rsid w:val="0068328B"/>
    <w:rsid w:val="006854F9"/>
    <w:rsid w:val="006860DD"/>
    <w:rsid w:val="0069073D"/>
    <w:rsid w:val="006915E0"/>
    <w:rsid w:val="0069363A"/>
    <w:rsid w:val="006A3461"/>
    <w:rsid w:val="006A3ABB"/>
    <w:rsid w:val="006B4904"/>
    <w:rsid w:val="006C0140"/>
    <w:rsid w:val="006C67EB"/>
    <w:rsid w:val="006D3A14"/>
    <w:rsid w:val="006E0E9D"/>
    <w:rsid w:val="006E3A7D"/>
    <w:rsid w:val="006E6F3C"/>
    <w:rsid w:val="006E711E"/>
    <w:rsid w:val="006E742E"/>
    <w:rsid w:val="006F119A"/>
    <w:rsid w:val="006F3678"/>
    <w:rsid w:val="006F50CA"/>
    <w:rsid w:val="006F5575"/>
    <w:rsid w:val="006F5BE4"/>
    <w:rsid w:val="00703F7A"/>
    <w:rsid w:val="00705718"/>
    <w:rsid w:val="00712CC7"/>
    <w:rsid w:val="007145C0"/>
    <w:rsid w:val="00734D46"/>
    <w:rsid w:val="00736655"/>
    <w:rsid w:val="00745116"/>
    <w:rsid w:val="0076606B"/>
    <w:rsid w:val="0077324B"/>
    <w:rsid w:val="00777429"/>
    <w:rsid w:val="007815CF"/>
    <w:rsid w:val="00785CAB"/>
    <w:rsid w:val="00792744"/>
    <w:rsid w:val="007B1FB0"/>
    <w:rsid w:val="007B234E"/>
    <w:rsid w:val="007B5822"/>
    <w:rsid w:val="007C0AE0"/>
    <w:rsid w:val="007D5636"/>
    <w:rsid w:val="007E7879"/>
    <w:rsid w:val="007F00D6"/>
    <w:rsid w:val="007F32C1"/>
    <w:rsid w:val="007F32F8"/>
    <w:rsid w:val="00804404"/>
    <w:rsid w:val="00807C05"/>
    <w:rsid w:val="00811683"/>
    <w:rsid w:val="008137C7"/>
    <w:rsid w:val="008202B4"/>
    <w:rsid w:val="00826F03"/>
    <w:rsid w:val="008277B6"/>
    <w:rsid w:val="00835BC2"/>
    <w:rsid w:val="0083661A"/>
    <w:rsid w:val="00836CF0"/>
    <w:rsid w:val="00843345"/>
    <w:rsid w:val="00846F1F"/>
    <w:rsid w:val="00846FF0"/>
    <w:rsid w:val="00852D93"/>
    <w:rsid w:val="00863612"/>
    <w:rsid w:val="00864B44"/>
    <w:rsid w:val="00866B5F"/>
    <w:rsid w:val="00870823"/>
    <w:rsid w:val="00874410"/>
    <w:rsid w:val="00877345"/>
    <w:rsid w:val="00887E73"/>
    <w:rsid w:val="0089364D"/>
    <w:rsid w:val="008B03DB"/>
    <w:rsid w:val="008B3093"/>
    <w:rsid w:val="008C1A3B"/>
    <w:rsid w:val="008D19F3"/>
    <w:rsid w:val="008D277E"/>
    <w:rsid w:val="008D5335"/>
    <w:rsid w:val="008D5F85"/>
    <w:rsid w:val="008E0C40"/>
    <w:rsid w:val="008F66DE"/>
    <w:rsid w:val="008F6891"/>
    <w:rsid w:val="00902123"/>
    <w:rsid w:val="00916782"/>
    <w:rsid w:val="0092528D"/>
    <w:rsid w:val="009267C7"/>
    <w:rsid w:val="00953E36"/>
    <w:rsid w:val="00965372"/>
    <w:rsid w:val="00971A91"/>
    <w:rsid w:val="00972105"/>
    <w:rsid w:val="00975626"/>
    <w:rsid w:val="00991FA8"/>
    <w:rsid w:val="009941FD"/>
    <w:rsid w:val="009A3572"/>
    <w:rsid w:val="009A3901"/>
    <w:rsid w:val="009A4198"/>
    <w:rsid w:val="009A5350"/>
    <w:rsid w:val="009C0A85"/>
    <w:rsid w:val="009C16E3"/>
    <w:rsid w:val="009C4B76"/>
    <w:rsid w:val="009C5840"/>
    <w:rsid w:val="009C59CA"/>
    <w:rsid w:val="009D3B86"/>
    <w:rsid w:val="009D480A"/>
    <w:rsid w:val="009D76E2"/>
    <w:rsid w:val="009E6D89"/>
    <w:rsid w:val="009F0D25"/>
    <w:rsid w:val="009F0F25"/>
    <w:rsid w:val="009F1CB5"/>
    <w:rsid w:val="009F2C1D"/>
    <w:rsid w:val="00A046DD"/>
    <w:rsid w:val="00A11A8A"/>
    <w:rsid w:val="00A12304"/>
    <w:rsid w:val="00A25440"/>
    <w:rsid w:val="00A32C69"/>
    <w:rsid w:val="00A33474"/>
    <w:rsid w:val="00A403DC"/>
    <w:rsid w:val="00A51A90"/>
    <w:rsid w:val="00A531A5"/>
    <w:rsid w:val="00A547BE"/>
    <w:rsid w:val="00A55E93"/>
    <w:rsid w:val="00A56465"/>
    <w:rsid w:val="00A5694A"/>
    <w:rsid w:val="00A70174"/>
    <w:rsid w:val="00A705A2"/>
    <w:rsid w:val="00A71EF3"/>
    <w:rsid w:val="00A76CE4"/>
    <w:rsid w:val="00A87692"/>
    <w:rsid w:val="00A87B04"/>
    <w:rsid w:val="00A87D42"/>
    <w:rsid w:val="00A93593"/>
    <w:rsid w:val="00A978E7"/>
    <w:rsid w:val="00AA02BE"/>
    <w:rsid w:val="00AA05C6"/>
    <w:rsid w:val="00AA7D8A"/>
    <w:rsid w:val="00AC3EE8"/>
    <w:rsid w:val="00AC45F9"/>
    <w:rsid w:val="00AD30D2"/>
    <w:rsid w:val="00AD7FE0"/>
    <w:rsid w:val="00AE13B1"/>
    <w:rsid w:val="00AE1B0B"/>
    <w:rsid w:val="00AF3F07"/>
    <w:rsid w:val="00B0003E"/>
    <w:rsid w:val="00B169E1"/>
    <w:rsid w:val="00B2620A"/>
    <w:rsid w:val="00B27136"/>
    <w:rsid w:val="00B27633"/>
    <w:rsid w:val="00B3053C"/>
    <w:rsid w:val="00B31855"/>
    <w:rsid w:val="00B36BFB"/>
    <w:rsid w:val="00B36EED"/>
    <w:rsid w:val="00B46F41"/>
    <w:rsid w:val="00B47C68"/>
    <w:rsid w:val="00B5342D"/>
    <w:rsid w:val="00B5695A"/>
    <w:rsid w:val="00B61638"/>
    <w:rsid w:val="00B619F3"/>
    <w:rsid w:val="00B72B76"/>
    <w:rsid w:val="00B91ACC"/>
    <w:rsid w:val="00BA7546"/>
    <w:rsid w:val="00BA77A8"/>
    <w:rsid w:val="00BB4269"/>
    <w:rsid w:val="00BB4296"/>
    <w:rsid w:val="00BB5103"/>
    <w:rsid w:val="00BB75C5"/>
    <w:rsid w:val="00BC4B7F"/>
    <w:rsid w:val="00BE076D"/>
    <w:rsid w:val="00BE1EBE"/>
    <w:rsid w:val="00BE4A47"/>
    <w:rsid w:val="00BE68E0"/>
    <w:rsid w:val="00BE7E09"/>
    <w:rsid w:val="00BF19EC"/>
    <w:rsid w:val="00BF1F1A"/>
    <w:rsid w:val="00BF3BE3"/>
    <w:rsid w:val="00C1272E"/>
    <w:rsid w:val="00C21069"/>
    <w:rsid w:val="00C33E4C"/>
    <w:rsid w:val="00C34069"/>
    <w:rsid w:val="00C36153"/>
    <w:rsid w:val="00C53B2E"/>
    <w:rsid w:val="00C57F25"/>
    <w:rsid w:val="00C61C44"/>
    <w:rsid w:val="00C747FC"/>
    <w:rsid w:val="00C83009"/>
    <w:rsid w:val="00C841D0"/>
    <w:rsid w:val="00C8421C"/>
    <w:rsid w:val="00CA222E"/>
    <w:rsid w:val="00CA25C5"/>
    <w:rsid w:val="00CA5960"/>
    <w:rsid w:val="00CB6DD5"/>
    <w:rsid w:val="00CC1EEF"/>
    <w:rsid w:val="00CD2B51"/>
    <w:rsid w:val="00CE4568"/>
    <w:rsid w:val="00CF69E2"/>
    <w:rsid w:val="00CF6CE2"/>
    <w:rsid w:val="00CF7DDD"/>
    <w:rsid w:val="00D04582"/>
    <w:rsid w:val="00D04841"/>
    <w:rsid w:val="00D06C20"/>
    <w:rsid w:val="00D06F7A"/>
    <w:rsid w:val="00D31F9E"/>
    <w:rsid w:val="00D3392B"/>
    <w:rsid w:val="00D34745"/>
    <w:rsid w:val="00D55ED7"/>
    <w:rsid w:val="00D65353"/>
    <w:rsid w:val="00D65F44"/>
    <w:rsid w:val="00D67764"/>
    <w:rsid w:val="00D76E1C"/>
    <w:rsid w:val="00D77548"/>
    <w:rsid w:val="00D8427B"/>
    <w:rsid w:val="00D87E03"/>
    <w:rsid w:val="00D919BF"/>
    <w:rsid w:val="00D96BB6"/>
    <w:rsid w:val="00DA36BD"/>
    <w:rsid w:val="00DA511D"/>
    <w:rsid w:val="00DC3F67"/>
    <w:rsid w:val="00DC602D"/>
    <w:rsid w:val="00DE1921"/>
    <w:rsid w:val="00DE2987"/>
    <w:rsid w:val="00DE2BB4"/>
    <w:rsid w:val="00DE6CBF"/>
    <w:rsid w:val="00DE7E45"/>
    <w:rsid w:val="00DF0967"/>
    <w:rsid w:val="00E31438"/>
    <w:rsid w:val="00E32D42"/>
    <w:rsid w:val="00E43DBE"/>
    <w:rsid w:val="00E44569"/>
    <w:rsid w:val="00E46D53"/>
    <w:rsid w:val="00E64B82"/>
    <w:rsid w:val="00E72AA6"/>
    <w:rsid w:val="00E75399"/>
    <w:rsid w:val="00E816F5"/>
    <w:rsid w:val="00E879FF"/>
    <w:rsid w:val="00E95A0F"/>
    <w:rsid w:val="00EB07F6"/>
    <w:rsid w:val="00EE1D7F"/>
    <w:rsid w:val="00EE7A2F"/>
    <w:rsid w:val="00EF3381"/>
    <w:rsid w:val="00EF42A4"/>
    <w:rsid w:val="00EF50CA"/>
    <w:rsid w:val="00F02EAF"/>
    <w:rsid w:val="00F1550F"/>
    <w:rsid w:val="00F15940"/>
    <w:rsid w:val="00F34BEA"/>
    <w:rsid w:val="00F36652"/>
    <w:rsid w:val="00F37C88"/>
    <w:rsid w:val="00F444A8"/>
    <w:rsid w:val="00F56D69"/>
    <w:rsid w:val="00F73EFF"/>
    <w:rsid w:val="00F93D60"/>
    <w:rsid w:val="00F9415B"/>
    <w:rsid w:val="00F96177"/>
    <w:rsid w:val="00FB342E"/>
    <w:rsid w:val="00FB52C5"/>
    <w:rsid w:val="00FB7BBA"/>
    <w:rsid w:val="00FC1677"/>
    <w:rsid w:val="00FD2903"/>
    <w:rsid w:val="00FE1291"/>
    <w:rsid w:val="00FE2A8B"/>
    <w:rsid w:val="00FE482B"/>
    <w:rsid w:val="00FF56AD"/>
    <w:rsid w:val="018D5F51"/>
    <w:rsid w:val="01EB6FEC"/>
    <w:rsid w:val="01FE5EB7"/>
    <w:rsid w:val="02377743"/>
    <w:rsid w:val="03204429"/>
    <w:rsid w:val="03DB06FE"/>
    <w:rsid w:val="04B16B62"/>
    <w:rsid w:val="05215177"/>
    <w:rsid w:val="054A5192"/>
    <w:rsid w:val="05BB571F"/>
    <w:rsid w:val="062067C9"/>
    <w:rsid w:val="08497BE8"/>
    <w:rsid w:val="087A37FC"/>
    <w:rsid w:val="08961A5A"/>
    <w:rsid w:val="08A96CC2"/>
    <w:rsid w:val="08F619C1"/>
    <w:rsid w:val="095345F4"/>
    <w:rsid w:val="0A0F44CD"/>
    <w:rsid w:val="0A2F0E4D"/>
    <w:rsid w:val="0AA97A8C"/>
    <w:rsid w:val="0B047D48"/>
    <w:rsid w:val="0B9C5D9B"/>
    <w:rsid w:val="0BA27F6B"/>
    <w:rsid w:val="0C490CC3"/>
    <w:rsid w:val="0C510FA4"/>
    <w:rsid w:val="0C9E5955"/>
    <w:rsid w:val="0D511F69"/>
    <w:rsid w:val="0DC52C23"/>
    <w:rsid w:val="0DC653B7"/>
    <w:rsid w:val="0DF70178"/>
    <w:rsid w:val="0E247DD8"/>
    <w:rsid w:val="0E3C3C0F"/>
    <w:rsid w:val="0E8143FC"/>
    <w:rsid w:val="0EBE477B"/>
    <w:rsid w:val="0F2862EC"/>
    <w:rsid w:val="0FE53808"/>
    <w:rsid w:val="117C0D4E"/>
    <w:rsid w:val="11B162FD"/>
    <w:rsid w:val="11BB3DB9"/>
    <w:rsid w:val="11CB222C"/>
    <w:rsid w:val="11D21B30"/>
    <w:rsid w:val="121940A5"/>
    <w:rsid w:val="123B658C"/>
    <w:rsid w:val="12756877"/>
    <w:rsid w:val="12CD4972"/>
    <w:rsid w:val="12FA2A1E"/>
    <w:rsid w:val="12FB08EA"/>
    <w:rsid w:val="142741A0"/>
    <w:rsid w:val="144B618F"/>
    <w:rsid w:val="1469754C"/>
    <w:rsid w:val="149C2737"/>
    <w:rsid w:val="14F71E23"/>
    <w:rsid w:val="14FD2EFF"/>
    <w:rsid w:val="15290B88"/>
    <w:rsid w:val="152A1DB0"/>
    <w:rsid w:val="155D4436"/>
    <w:rsid w:val="16002490"/>
    <w:rsid w:val="16457F02"/>
    <w:rsid w:val="16800450"/>
    <w:rsid w:val="169510B8"/>
    <w:rsid w:val="16DD4AF1"/>
    <w:rsid w:val="170A0D35"/>
    <w:rsid w:val="17322FFC"/>
    <w:rsid w:val="174C5C47"/>
    <w:rsid w:val="178D27B4"/>
    <w:rsid w:val="182014A2"/>
    <w:rsid w:val="18294E04"/>
    <w:rsid w:val="1892050E"/>
    <w:rsid w:val="18D80C51"/>
    <w:rsid w:val="18EE0BF6"/>
    <w:rsid w:val="192B2275"/>
    <w:rsid w:val="19854B76"/>
    <w:rsid w:val="198557BA"/>
    <w:rsid w:val="19B17BB1"/>
    <w:rsid w:val="19D84AF5"/>
    <w:rsid w:val="1A0C2276"/>
    <w:rsid w:val="1A287FEA"/>
    <w:rsid w:val="1A542352"/>
    <w:rsid w:val="1A707A6D"/>
    <w:rsid w:val="1A7D6D25"/>
    <w:rsid w:val="1A816486"/>
    <w:rsid w:val="1A893942"/>
    <w:rsid w:val="1A907FA2"/>
    <w:rsid w:val="1AD533CC"/>
    <w:rsid w:val="1B2A72DF"/>
    <w:rsid w:val="1B70123A"/>
    <w:rsid w:val="1BA64FD1"/>
    <w:rsid w:val="1BBC5A18"/>
    <w:rsid w:val="1BC93F0E"/>
    <w:rsid w:val="1BE97487"/>
    <w:rsid w:val="1BF32374"/>
    <w:rsid w:val="1C0776AF"/>
    <w:rsid w:val="1C3E4461"/>
    <w:rsid w:val="1C6357AF"/>
    <w:rsid w:val="1CAC5E2B"/>
    <w:rsid w:val="1CC71CB2"/>
    <w:rsid w:val="1CDF5587"/>
    <w:rsid w:val="1D023468"/>
    <w:rsid w:val="1D795BF8"/>
    <w:rsid w:val="1D941E49"/>
    <w:rsid w:val="1D964AA9"/>
    <w:rsid w:val="1DD036B2"/>
    <w:rsid w:val="1DD4275F"/>
    <w:rsid w:val="1E356AFA"/>
    <w:rsid w:val="1E724912"/>
    <w:rsid w:val="1FC2672F"/>
    <w:rsid w:val="201D0297"/>
    <w:rsid w:val="204A0870"/>
    <w:rsid w:val="20C822D8"/>
    <w:rsid w:val="22086EAE"/>
    <w:rsid w:val="220D5EC8"/>
    <w:rsid w:val="223431B1"/>
    <w:rsid w:val="22C149FC"/>
    <w:rsid w:val="22F1518B"/>
    <w:rsid w:val="238C25BD"/>
    <w:rsid w:val="24A91031"/>
    <w:rsid w:val="24B96681"/>
    <w:rsid w:val="24BD22AA"/>
    <w:rsid w:val="25152CD3"/>
    <w:rsid w:val="25E72FA7"/>
    <w:rsid w:val="260555E3"/>
    <w:rsid w:val="26C402B0"/>
    <w:rsid w:val="26D15FFB"/>
    <w:rsid w:val="273147E4"/>
    <w:rsid w:val="27487015"/>
    <w:rsid w:val="27A84C42"/>
    <w:rsid w:val="28347384"/>
    <w:rsid w:val="287A4275"/>
    <w:rsid w:val="28B70DC9"/>
    <w:rsid w:val="29711978"/>
    <w:rsid w:val="298634AE"/>
    <w:rsid w:val="29A17B31"/>
    <w:rsid w:val="2A4B1A28"/>
    <w:rsid w:val="2A567387"/>
    <w:rsid w:val="2A66542F"/>
    <w:rsid w:val="2B3649F4"/>
    <w:rsid w:val="2B4675FA"/>
    <w:rsid w:val="2BB602C5"/>
    <w:rsid w:val="2BD85FC4"/>
    <w:rsid w:val="2BE937E9"/>
    <w:rsid w:val="2BF50AB4"/>
    <w:rsid w:val="2BFA0E70"/>
    <w:rsid w:val="2CDB7E63"/>
    <w:rsid w:val="2D434FF8"/>
    <w:rsid w:val="2DA05DCE"/>
    <w:rsid w:val="2EC208DF"/>
    <w:rsid w:val="2F223C18"/>
    <w:rsid w:val="2F401A95"/>
    <w:rsid w:val="2F517C68"/>
    <w:rsid w:val="2F854CC7"/>
    <w:rsid w:val="2F9C3AD1"/>
    <w:rsid w:val="2FDD2BC4"/>
    <w:rsid w:val="2FE3556F"/>
    <w:rsid w:val="2FF679D7"/>
    <w:rsid w:val="30653C55"/>
    <w:rsid w:val="307C6D47"/>
    <w:rsid w:val="30B93C1E"/>
    <w:rsid w:val="30C952F8"/>
    <w:rsid w:val="3166520A"/>
    <w:rsid w:val="31A367EC"/>
    <w:rsid w:val="31CF5586"/>
    <w:rsid w:val="320C78A0"/>
    <w:rsid w:val="3232204B"/>
    <w:rsid w:val="323649A0"/>
    <w:rsid w:val="329A0B6A"/>
    <w:rsid w:val="32C642E9"/>
    <w:rsid w:val="332573C9"/>
    <w:rsid w:val="338406B7"/>
    <w:rsid w:val="34477241"/>
    <w:rsid w:val="34854AB1"/>
    <w:rsid w:val="34A63F82"/>
    <w:rsid w:val="350A7012"/>
    <w:rsid w:val="36003080"/>
    <w:rsid w:val="360161F0"/>
    <w:rsid w:val="36050641"/>
    <w:rsid w:val="36365F0F"/>
    <w:rsid w:val="372651A6"/>
    <w:rsid w:val="375515EF"/>
    <w:rsid w:val="37607611"/>
    <w:rsid w:val="37854D30"/>
    <w:rsid w:val="37A91B2F"/>
    <w:rsid w:val="381E7A1B"/>
    <w:rsid w:val="382265A3"/>
    <w:rsid w:val="386B45BC"/>
    <w:rsid w:val="38B20142"/>
    <w:rsid w:val="39006650"/>
    <w:rsid w:val="39223F50"/>
    <w:rsid w:val="39915230"/>
    <w:rsid w:val="39B533F4"/>
    <w:rsid w:val="3A166DB1"/>
    <w:rsid w:val="3A242CB1"/>
    <w:rsid w:val="3A3D41CD"/>
    <w:rsid w:val="3A637C30"/>
    <w:rsid w:val="3A6464DA"/>
    <w:rsid w:val="3A8D0AE7"/>
    <w:rsid w:val="3AB67D23"/>
    <w:rsid w:val="3B025489"/>
    <w:rsid w:val="3B35691C"/>
    <w:rsid w:val="3B507595"/>
    <w:rsid w:val="3B586E2D"/>
    <w:rsid w:val="3C691FB2"/>
    <w:rsid w:val="3D2A5959"/>
    <w:rsid w:val="3D3B3330"/>
    <w:rsid w:val="3F857305"/>
    <w:rsid w:val="3F9148EF"/>
    <w:rsid w:val="3F996600"/>
    <w:rsid w:val="4071483C"/>
    <w:rsid w:val="40897331"/>
    <w:rsid w:val="40A300AE"/>
    <w:rsid w:val="40DD3147"/>
    <w:rsid w:val="41450ED1"/>
    <w:rsid w:val="419803FF"/>
    <w:rsid w:val="41A75327"/>
    <w:rsid w:val="41DE07D6"/>
    <w:rsid w:val="425932C8"/>
    <w:rsid w:val="42726493"/>
    <w:rsid w:val="434F08E3"/>
    <w:rsid w:val="436469F4"/>
    <w:rsid w:val="44181054"/>
    <w:rsid w:val="44C2436C"/>
    <w:rsid w:val="44D90650"/>
    <w:rsid w:val="45225B34"/>
    <w:rsid w:val="454247FC"/>
    <w:rsid w:val="45C2437E"/>
    <w:rsid w:val="464740FB"/>
    <w:rsid w:val="46945BA3"/>
    <w:rsid w:val="469C1860"/>
    <w:rsid w:val="46EB55F0"/>
    <w:rsid w:val="47194283"/>
    <w:rsid w:val="475F6725"/>
    <w:rsid w:val="48100387"/>
    <w:rsid w:val="486C54E8"/>
    <w:rsid w:val="489F1960"/>
    <w:rsid w:val="48A26DA2"/>
    <w:rsid w:val="48A8042C"/>
    <w:rsid w:val="492F3120"/>
    <w:rsid w:val="4A646C71"/>
    <w:rsid w:val="4A974BFD"/>
    <w:rsid w:val="4AB7027F"/>
    <w:rsid w:val="4AC53274"/>
    <w:rsid w:val="4B23478E"/>
    <w:rsid w:val="4B353D3D"/>
    <w:rsid w:val="4B3D2C38"/>
    <w:rsid w:val="4B9A6CD9"/>
    <w:rsid w:val="4BCC0D7F"/>
    <w:rsid w:val="4C550775"/>
    <w:rsid w:val="4CC42E4B"/>
    <w:rsid w:val="4DA84AC9"/>
    <w:rsid w:val="4E006899"/>
    <w:rsid w:val="4E411F26"/>
    <w:rsid w:val="4E4604CC"/>
    <w:rsid w:val="4E6B607B"/>
    <w:rsid w:val="4E700033"/>
    <w:rsid w:val="4E712B50"/>
    <w:rsid w:val="4E7E67D5"/>
    <w:rsid w:val="4EE704C2"/>
    <w:rsid w:val="4F6E3CC3"/>
    <w:rsid w:val="4FAC2EBB"/>
    <w:rsid w:val="500E49CD"/>
    <w:rsid w:val="500F1CD5"/>
    <w:rsid w:val="5019557F"/>
    <w:rsid w:val="506B6199"/>
    <w:rsid w:val="50FA2C7C"/>
    <w:rsid w:val="511D25A1"/>
    <w:rsid w:val="51713776"/>
    <w:rsid w:val="51A36407"/>
    <w:rsid w:val="51C86B56"/>
    <w:rsid w:val="51D60B75"/>
    <w:rsid w:val="51D91B25"/>
    <w:rsid w:val="51FA42D4"/>
    <w:rsid w:val="5202225E"/>
    <w:rsid w:val="522A5C96"/>
    <w:rsid w:val="5286182F"/>
    <w:rsid w:val="52C77658"/>
    <w:rsid w:val="531700D4"/>
    <w:rsid w:val="53252219"/>
    <w:rsid w:val="53B84021"/>
    <w:rsid w:val="53BF0718"/>
    <w:rsid w:val="541B571E"/>
    <w:rsid w:val="542D096E"/>
    <w:rsid w:val="56306E56"/>
    <w:rsid w:val="56444969"/>
    <w:rsid w:val="56EF513F"/>
    <w:rsid w:val="57C82F28"/>
    <w:rsid w:val="57F70DED"/>
    <w:rsid w:val="58083A83"/>
    <w:rsid w:val="581B10FA"/>
    <w:rsid w:val="582156EE"/>
    <w:rsid w:val="58427747"/>
    <w:rsid w:val="584369EC"/>
    <w:rsid w:val="58BB4CDB"/>
    <w:rsid w:val="58F96B51"/>
    <w:rsid w:val="59185B61"/>
    <w:rsid w:val="596A4423"/>
    <w:rsid w:val="59AD702D"/>
    <w:rsid w:val="59D14CC4"/>
    <w:rsid w:val="59E7688C"/>
    <w:rsid w:val="59FF73A2"/>
    <w:rsid w:val="5A945937"/>
    <w:rsid w:val="5AA340C2"/>
    <w:rsid w:val="5AB6501F"/>
    <w:rsid w:val="5B9E1D5B"/>
    <w:rsid w:val="5BA64252"/>
    <w:rsid w:val="5BCB323C"/>
    <w:rsid w:val="5C7344DB"/>
    <w:rsid w:val="5D7F7D07"/>
    <w:rsid w:val="5DC63A4E"/>
    <w:rsid w:val="5DED53D1"/>
    <w:rsid w:val="5E063E78"/>
    <w:rsid w:val="5E1B7959"/>
    <w:rsid w:val="5EAD142E"/>
    <w:rsid w:val="5F3F3BFD"/>
    <w:rsid w:val="5F7071A8"/>
    <w:rsid w:val="5FF330F1"/>
    <w:rsid w:val="60F20BC5"/>
    <w:rsid w:val="610C5CC5"/>
    <w:rsid w:val="613053AA"/>
    <w:rsid w:val="6162645C"/>
    <w:rsid w:val="61A7112B"/>
    <w:rsid w:val="61F1030C"/>
    <w:rsid w:val="6210426E"/>
    <w:rsid w:val="625C0D00"/>
    <w:rsid w:val="62832265"/>
    <w:rsid w:val="62B00797"/>
    <w:rsid w:val="62CA41E4"/>
    <w:rsid w:val="63216D47"/>
    <w:rsid w:val="63510BEE"/>
    <w:rsid w:val="638119A8"/>
    <w:rsid w:val="642D51FD"/>
    <w:rsid w:val="642E3652"/>
    <w:rsid w:val="644E4B1D"/>
    <w:rsid w:val="64651B49"/>
    <w:rsid w:val="65107CC1"/>
    <w:rsid w:val="651D3A26"/>
    <w:rsid w:val="652C5EC9"/>
    <w:rsid w:val="65353764"/>
    <w:rsid w:val="65630C3D"/>
    <w:rsid w:val="656477F9"/>
    <w:rsid w:val="657C7424"/>
    <w:rsid w:val="65EC5F0A"/>
    <w:rsid w:val="665B546D"/>
    <w:rsid w:val="6666090E"/>
    <w:rsid w:val="66EC4D96"/>
    <w:rsid w:val="6736101B"/>
    <w:rsid w:val="675B739B"/>
    <w:rsid w:val="678C7FB4"/>
    <w:rsid w:val="67987A7C"/>
    <w:rsid w:val="68281E82"/>
    <w:rsid w:val="68370CCC"/>
    <w:rsid w:val="684D7DEF"/>
    <w:rsid w:val="69205264"/>
    <w:rsid w:val="695217DC"/>
    <w:rsid w:val="69C37032"/>
    <w:rsid w:val="6A6F13E3"/>
    <w:rsid w:val="6AF542A4"/>
    <w:rsid w:val="6B832B04"/>
    <w:rsid w:val="6BD916EE"/>
    <w:rsid w:val="6C194573"/>
    <w:rsid w:val="6CCA1A7F"/>
    <w:rsid w:val="6DD805CD"/>
    <w:rsid w:val="6E035291"/>
    <w:rsid w:val="6E1206A4"/>
    <w:rsid w:val="6E306FE2"/>
    <w:rsid w:val="6E5A3D7E"/>
    <w:rsid w:val="6EBA7775"/>
    <w:rsid w:val="6F795870"/>
    <w:rsid w:val="6F992C36"/>
    <w:rsid w:val="703933A1"/>
    <w:rsid w:val="704E185C"/>
    <w:rsid w:val="70AA0758"/>
    <w:rsid w:val="70B61502"/>
    <w:rsid w:val="70CE17C7"/>
    <w:rsid w:val="70E575E5"/>
    <w:rsid w:val="70F5166C"/>
    <w:rsid w:val="712B74F8"/>
    <w:rsid w:val="715C11EA"/>
    <w:rsid w:val="716176FB"/>
    <w:rsid w:val="719D02BE"/>
    <w:rsid w:val="71BE45D9"/>
    <w:rsid w:val="71EF5ACB"/>
    <w:rsid w:val="723B233B"/>
    <w:rsid w:val="724F5D5C"/>
    <w:rsid w:val="72560D51"/>
    <w:rsid w:val="7256226D"/>
    <w:rsid w:val="728E0A16"/>
    <w:rsid w:val="729371FE"/>
    <w:rsid w:val="72E929DE"/>
    <w:rsid w:val="72EF2B1D"/>
    <w:rsid w:val="734664DC"/>
    <w:rsid w:val="738D015F"/>
    <w:rsid w:val="745751F5"/>
    <w:rsid w:val="74892FD1"/>
    <w:rsid w:val="74FB18F9"/>
    <w:rsid w:val="751B2B76"/>
    <w:rsid w:val="75616560"/>
    <w:rsid w:val="75F80517"/>
    <w:rsid w:val="75F95482"/>
    <w:rsid w:val="7633094E"/>
    <w:rsid w:val="763D3893"/>
    <w:rsid w:val="766248A9"/>
    <w:rsid w:val="76C57715"/>
    <w:rsid w:val="76D0751B"/>
    <w:rsid w:val="76E27EE7"/>
    <w:rsid w:val="76E6192C"/>
    <w:rsid w:val="771479EA"/>
    <w:rsid w:val="771C35A1"/>
    <w:rsid w:val="77A03719"/>
    <w:rsid w:val="78280CD8"/>
    <w:rsid w:val="78547476"/>
    <w:rsid w:val="78A4259B"/>
    <w:rsid w:val="78BD34B1"/>
    <w:rsid w:val="78C31CAF"/>
    <w:rsid w:val="78CE6E70"/>
    <w:rsid w:val="795B3486"/>
    <w:rsid w:val="79E45FD6"/>
    <w:rsid w:val="7A7B389C"/>
    <w:rsid w:val="7A7C1996"/>
    <w:rsid w:val="7AD0105B"/>
    <w:rsid w:val="7AF64073"/>
    <w:rsid w:val="7AF92581"/>
    <w:rsid w:val="7B044A15"/>
    <w:rsid w:val="7B170E00"/>
    <w:rsid w:val="7B3057E8"/>
    <w:rsid w:val="7C157916"/>
    <w:rsid w:val="7C4B2499"/>
    <w:rsid w:val="7C691A6C"/>
    <w:rsid w:val="7C721F5F"/>
    <w:rsid w:val="7C7D36C4"/>
    <w:rsid w:val="7DAD733C"/>
    <w:rsid w:val="7E431677"/>
    <w:rsid w:val="7E5572E2"/>
    <w:rsid w:val="7E871182"/>
    <w:rsid w:val="7E9D3347"/>
    <w:rsid w:val="7ED67996"/>
    <w:rsid w:val="7EFE58EB"/>
    <w:rsid w:val="7F116F65"/>
    <w:rsid w:val="7F516160"/>
    <w:rsid w:val="7FD45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Arial" w:hAnsi="Arial" w:eastAsia="黑体"/>
      <w:b/>
      <w:sz w:val="24"/>
    </w:rPr>
  </w:style>
  <w:style w:type="paragraph" w:styleId="4">
    <w:name w:val="heading 3"/>
    <w:basedOn w:val="1"/>
    <w:next w:val="1"/>
    <w:qFormat/>
    <w:uiPriority w:val="0"/>
    <w:pPr>
      <w:keepNext/>
      <w:keepLines/>
      <w:spacing w:before="260" w:after="260" w:line="413" w:lineRule="auto"/>
      <w:outlineLvl w:val="2"/>
    </w:pPr>
    <w:rPr>
      <w:rFonts w:ascii="Calibri" w:hAnsi="Calibri"/>
      <w:b/>
      <w:sz w:val="24"/>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Body Text Indent"/>
    <w:basedOn w:val="1"/>
    <w:unhideWhenUsed/>
    <w:uiPriority w:val="0"/>
    <w:pPr>
      <w:ind w:firstLine="630"/>
    </w:pPr>
    <w:rPr>
      <w:kern w:val="0"/>
      <w:sz w:val="24"/>
    </w:rPr>
  </w:style>
  <w:style w:type="paragraph" w:styleId="7">
    <w:name w:val="Body Text Indent 2"/>
    <w:basedOn w:val="1"/>
    <w:unhideWhenUsed/>
    <w:uiPriority w:val="0"/>
    <w:pPr>
      <w:ind w:firstLine="600"/>
    </w:pPr>
    <w:rPr>
      <w:kern w:val="0"/>
      <w:sz w:val="24"/>
    </w:rPr>
  </w:style>
  <w:style w:type="paragraph" w:styleId="8">
    <w:name w:val="Balloon Text"/>
    <w:basedOn w:val="1"/>
    <w:semiHidden/>
    <w:uiPriority w:val="0"/>
    <w:rPr>
      <w:sz w:val="18"/>
      <w:szCs w:val="18"/>
    </w:rPr>
  </w:style>
  <w:style w:type="paragraph" w:styleId="9">
    <w:name w:val="footer"/>
    <w:basedOn w:val="1"/>
    <w:unhideWhenUsed/>
    <w:uiPriority w:val="0"/>
    <w:pPr>
      <w:tabs>
        <w:tab w:val="center" w:pos="4153"/>
        <w:tab w:val="right" w:pos="8306"/>
      </w:tabs>
      <w:snapToGrid w:val="0"/>
      <w:jc w:val="left"/>
    </w:pPr>
    <w:rPr>
      <w:sz w:val="18"/>
      <w:szCs w:val="20"/>
    </w:rPr>
  </w:style>
  <w:style w:type="paragraph" w:styleId="10">
    <w:name w:val="header"/>
    <w:basedOn w:val="1"/>
    <w:unhideWhenUsed/>
    <w:uiPriority w:val="0"/>
    <w:pPr>
      <w:pBdr>
        <w:bottom w:val="single" w:color="auto" w:sz="6" w:space="1"/>
      </w:pBdr>
      <w:tabs>
        <w:tab w:val="center" w:pos="4153"/>
        <w:tab w:val="right" w:pos="8306"/>
      </w:tabs>
      <w:snapToGrid w:val="0"/>
      <w:jc w:val="center"/>
    </w:pPr>
    <w:rPr>
      <w:sz w:val="18"/>
      <w:szCs w:val="20"/>
    </w:rPr>
  </w:style>
  <w:style w:type="table" w:styleId="12">
    <w:name w:val="Table Grid"/>
    <w:basedOn w:val="11"/>
    <w:unhideWhenUsed/>
    <w:qFormat/>
    <w:uiPriority w:val="0"/>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uiPriority w:val="0"/>
    <w:rPr>
      <w:sz w:val="21"/>
      <w:szCs w:val="21"/>
    </w:rPr>
  </w:style>
  <w:style w:type="character" w:customStyle="1" w:styleId="15">
    <w:name w:val="font11"/>
    <w:uiPriority w:val="0"/>
    <w:rPr>
      <w:rFonts w:hint="default" w:ascii="微软简仿宋" w:hAnsi="微软简仿宋" w:eastAsia="微软简仿宋" w:cs="微软简仿宋"/>
      <w:color w:val="000000"/>
      <w:sz w:val="24"/>
      <w:szCs w:val="24"/>
      <w:u w:val="none"/>
    </w:rPr>
  </w:style>
  <w:style w:type="character" w:customStyle="1" w:styleId="16">
    <w:name w:val="font01"/>
    <w:uiPriority w:val="0"/>
    <w:rPr>
      <w:rFonts w:hint="default" w:ascii="Times New Roman" w:hAnsi="Times New Roman" w:cs="Times New Roman"/>
      <w:color w:val="000000"/>
      <w:sz w:val="24"/>
      <w:szCs w:val="24"/>
      <w:u w:val="none"/>
    </w:rPr>
  </w:style>
  <w:style w:type="character" w:customStyle="1" w:styleId="17">
    <w:name w:val="font51"/>
    <w:uiPriority w:val="0"/>
    <w:rPr>
      <w:rFonts w:hint="default" w:ascii="Times New Roman" w:hAnsi="Times New Roman" w:cs="Times New Roman"/>
      <w:color w:val="000000"/>
      <w:sz w:val="24"/>
      <w:szCs w:val="24"/>
      <w:u w:val="none"/>
    </w:rPr>
  </w:style>
  <w:style w:type="character" w:customStyle="1" w:styleId="18">
    <w:name w:val="font81"/>
    <w:uiPriority w:val="0"/>
    <w:rPr>
      <w:rFonts w:hint="default" w:ascii="微软简仿宋" w:hAnsi="微软简仿宋" w:eastAsia="微软简仿宋" w:cs="微软简仿宋"/>
      <w:color w:val="000000"/>
      <w:sz w:val="24"/>
      <w:szCs w:val="24"/>
      <w:u w:val="none"/>
    </w:rPr>
  </w:style>
  <w:style w:type="paragraph" w:customStyle="1" w:styleId="19">
    <w:name w:val="Revision"/>
    <w:unhideWhenUsed/>
    <w:uiPriority w:val="99"/>
    <w:rPr>
      <w:rFonts w:ascii="Times New Roman" w:hAnsi="Times New Roman" w:eastAsia="宋体" w:cs="Times New Roman"/>
      <w:kern w:val="2"/>
      <w:sz w:val="21"/>
      <w:szCs w:val="24"/>
      <w:lang w:val="en-US" w:eastAsia="zh-CN" w:bidi="ar-SA"/>
    </w:rPr>
  </w:style>
  <w:style w:type="paragraph" w:customStyle="1" w:styleId="20">
    <w:name w:val="正文 A"/>
    <w:qFormat/>
    <w:uiPriority w:val="0"/>
    <w:pPr>
      <w:widowControl w:val="0"/>
      <w:spacing w:line="560" w:lineRule="atLeast"/>
      <w:ind w:firstLine="640"/>
      <w:jc w:val="both"/>
    </w:pPr>
    <w:rPr>
      <w:rFonts w:ascii="Arial Unicode MS" w:hAnsi="Arial Unicode MS" w:eastAsia="宋体" w:cs="Arial Unicode MS"/>
      <w:color w:val="000000"/>
      <w:kern w:val="2"/>
      <w:sz w:val="32"/>
      <w:szCs w:val="32"/>
      <w:u w:color="000000"/>
      <w:lang w:val="en-US" w:eastAsia="zh-CN" w:bidi="ar-SA"/>
    </w:rPr>
  </w:style>
  <w:style w:type="paragraph" w:customStyle="1" w:styleId="21">
    <w:name w:val="p0"/>
    <w:basedOn w:val="1"/>
    <w:uiPriority w:val="0"/>
    <w:pPr>
      <w:widowControl/>
    </w:pPr>
    <w:rPr>
      <w:kern w:val="0"/>
      <w:szCs w:val="21"/>
    </w:rPr>
  </w:style>
  <w:style w:type="paragraph" w:customStyle="1" w:styleId="22">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23">
    <w:name w:val="YJH-nei"/>
    <w:qFormat/>
    <w:uiPriority w:val="0"/>
    <w:pPr>
      <w:spacing w:line="600" w:lineRule="exact"/>
      <w:ind w:firstLine="200" w:firstLineChars="200"/>
    </w:pPr>
    <w:rPr>
      <w:rFonts w:ascii="仿宋_GB2312" w:hAnsi="宋体" w:eastAsia="仿宋_GB2312" w:cs="Times New Roman"/>
      <w:sz w:val="30"/>
      <w:szCs w:val="30"/>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0F4BC-7B1B-4A76-8176-CE030A235F09}">
  <ds:schemaRefs/>
</ds:datastoreItem>
</file>

<file path=docProps/app.xml><?xml version="1.0" encoding="utf-8"?>
<Properties xmlns="http://schemas.openxmlformats.org/officeDocument/2006/extended-properties" xmlns:vt="http://schemas.openxmlformats.org/officeDocument/2006/docPropsVTypes">
  <Template>Normal.dotm</Template>
  <Company>华夏银行总行</Company>
  <Pages>17</Pages>
  <Words>2736</Words>
  <Characters>15601</Characters>
  <Lines>130</Lines>
  <Paragraphs>36</Paragraphs>
  <TotalTime>4</TotalTime>
  <ScaleCrop>false</ScaleCrop>
  <LinksUpToDate>false</LinksUpToDate>
  <CharactersWithSpaces>18301</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2022-10-27T03:28:00Z</dcterms:created>
  <dc:creator>ylh</dc:creator>
  <cp:keywords>新版</cp:keywords>
  <cp:lastModifiedBy>RORO</cp:lastModifiedBy>
  <dcterms:modified xsi:type="dcterms:W3CDTF">2022-10-31T10:07:01Z</dcterms:modified>
  <dc:title>华夏理财龙盈固定收益类G款</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2052-11.8.2.10972</vt:lpwstr>
  </property>
  <property fmtid="{D5CDD505-2E9C-101B-9397-08002B2CF9AE}" pid="3" name="ICV">
    <vt:lpwstr>F665AB604087427AB68C2D237E20ECB1</vt:lpwstr>
  </property>
</Properties>
</file>