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napToGrid w:val="0"/>
        <w:spacing w:line="400" w:lineRule="exact"/>
        <w:ind w:firstLine="0"/>
        <w:jc w:val="center"/>
        <w:rPr>
          <w:rFonts w:eastAsia="黑体"/>
          <w:sz w:val="36"/>
          <w:szCs w:val="36"/>
        </w:rPr>
      </w:pPr>
      <w:r>
        <w:rPr>
          <w:rFonts w:hint="eastAsia" w:eastAsia="黑体"/>
          <w:bCs/>
          <w:kern w:val="2"/>
          <w:sz w:val="36"/>
          <w:szCs w:val="36"/>
        </w:rPr>
        <w:t>华夏理财</w:t>
      </w:r>
      <w:r>
        <w:rPr>
          <w:rFonts w:hint="eastAsia" w:eastAsia="黑体"/>
          <w:bCs/>
          <w:sz w:val="36"/>
          <w:szCs w:val="36"/>
        </w:rPr>
        <w:t>龙盈ESG混合G款12号两年定开理财产品</w:t>
      </w:r>
      <w:r>
        <w:rPr>
          <w:rFonts w:hint="eastAsia" w:eastAsia="黑体" w:cs="黑体"/>
          <w:sz w:val="36"/>
          <w:szCs w:val="36"/>
        </w:rPr>
        <w:t>说明书</w:t>
      </w:r>
    </w:p>
    <w:p>
      <w:pPr>
        <w:pStyle w:val="6"/>
        <w:snapToGrid w:val="0"/>
        <w:spacing w:line="400" w:lineRule="exact"/>
        <w:ind w:firstLine="0"/>
        <w:jc w:val="center"/>
        <w:rPr>
          <w:rFonts w:eastAsia="黑体"/>
          <w:bCs/>
          <w:kern w:val="2"/>
          <w:sz w:val="36"/>
          <w:szCs w:val="36"/>
        </w:rPr>
      </w:pPr>
    </w:p>
    <w:tbl>
      <w:tblPr>
        <w:tblStyle w:val="11"/>
        <w:tblpPr w:leftFromText="180" w:rightFromText="180" w:vertAnchor="page" w:horzAnchor="page" w:tblpX="1867" w:tblpY="2343"/>
        <w:tblW w:w="859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noWrap w:val="0"/>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eastAsia="黑体"/>
          <w:bCs/>
          <w:kern w:val="2"/>
          <w:sz w:val="36"/>
          <w:szCs w:val="36"/>
        </w:rPr>
      </w:pPr>
    </w:p>
    <w:p>
      <w:pPr>
        <w:pStyle w:val="6"/>
        <w:adjustRightInd w:val="0"/>
        <w:snapToGrid w:val="0"/>
        <w:spacing w:line="400" w:lineRule="exact"/>
        <w:ind w:firstLine="0"/>
        <w:jc w:val="center"/>
        <w:rPr>
          <w:rFonts w:eastAsia="黑体"/>
          <w:bCs/>
          <w:kern w:val="2"/>
          <w:sz w:val="36"/>
          <w:szCs w:val="36"/>
        </w:rPr>
      </w:pP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1"/>
        <w:tblW w:w="9134" w:type="dxa"/>
        <w:jc w:val="center"/>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
                <w:bCs/>
                <w:szCs w:val="21"/>
              </w:rPr>
            </w:pPr>
            <w:r>
              <w:rPr>
                <w:rFonts w:hint="eastAsia" w:ascii="仿宋" w:hAnsi="仿宋" w:eastAsia="仿宋"/>
                <w:b/>
                <w:bCs/>
                <w:szCs w:val="21"/>
              </w:rPr>
              <w:t>华夏理财龙盈ESG混合G款12号两年定开理财产品</w:t>
            </w:r>
          </w:p>
          <w:p>
            <w:pPr>
              <w:adjustRightInd w:val="0"/>
              <w:snapToGrid w:val="0"/>
              <w:spacing w:line="240" w:lineRule="atLeast"/>
              <w:jc w:val="center"/>
              <w:rPr>
                <w:rFonts w:ascii="仿宋" w:hAnsi="仿宋" w:eastAsia="仿宋"/>
                <w:b/>
                <w:bCs/>
                <w:szCs w:val="21"/>
              </w:rPr>
            </w:pPr>
            <w:r>
              <w:rPr>
                <w:rFonts w:hint="eastAsia" w:ascii="仿宋" w:hAnsi="仿宋" w:eastAsia="仿宋"/>
                <w:b/>
                <w:bCs/>
                <w:szCs w:val="21"/>
              </w:rPr>
              <w:t>简称：“龙盈ESG混合G款12号（两年定开-偏债）”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208282100419</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Z7003921000569</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产品管理人</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/管理人</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u w:val="single"/>
              </w:rPr>
              <w:t xml:space="preserve"> PR3级（中等风险） </w:t>
            </w:r>
            <w:r>
              <w:rPr>
                <w:rFonts w:ascii="仿宋" w:hAnsi="仿宋" w:eastAsia="仿宋"/>
                <w:bCs/>
                <w:szCs w:val="21"/>
              </w:rPr>
              <w:t>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如与华夏理财产品风险评级结果不一致，应当采用对应较高风险等级的评级结果</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w:t>
            </w:r>
            <w:r>
              <w:rPr>
                <w:rFonts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u w:val="single"/>
              </w:rPr>
              <w:t xml:space="preserve"> </w:t>
            </w:r>
            <w:r>
              <w:rPr>
                <w:rFonts w:hint="eastAsia" w:ascii="仿宋" w:hAnsi="仿宋" w:eastAsia="仿宋"/>
                <w:bCs/>
                <w:color w:val="000000"/>
                <w:szCs w:val="21"/>
                <w:u w:val="single"/>
              </w:rPr>
              <w:t xml:space="preserve">CR3（平衡型）、CR4（进取型）、CR5（激进型） </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业绩比较基准</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cs="Cambria"/>
                <w:bCs/>
                <w:szCs w:val="21"/>
              </w:rPr>
              <w:t>业绩</w:t>
            </w:r>
            <w:r>
              <w:rPr>
                <w:rFonts w:hint="eastAsia" w:ascii="仿宋" w:hAnsi="仿宋" w:eastAsia="仿宋"/>
                <w:bCs/>
                <w:szCs w:val="21"/>
              </w:rPr>
              <w:t>比较</w:t>
            </w:r>
            <w:r>
              <w:rPr>
                <w:rFonts w:hint="eastAsia" w:ascii="仿宋" w:hAnsi="仿宋" w:eastAsia="仿宋" w:cs="Cambria"/>
                <w:bCs/>
                <w:szCs w:val="21"/>
              </w:rPr>
              <w:t>基准为4.50%（年化）。</w:t>
            </w:r>
            <w:bookmarkStart w:id="4" w:name="_GoBack"/>
            <w:bookmarkEnd w:id="4"/>
            <w:r>
              <w:rPr>
                <w:rFonts w:hint="eastAsia" w:ascii="仿宋" w:hAnsi="仿宋" w:eastAsia="仿宋" w:cs="Cambria"/>
                <w:bCs/>
                <w:szCs w:val="21"/>
              </w:rPr>
              <w:t>以产品投资利率债仓位0-10%，信用债仓位40%-60%，非标债权类资产仓位0%-40%，权益类资产仓位20%-40%，组合杠杆率110%-120%为例，参考中债-国债总财富（1-3年）指数、中债-信用债总财富（1-3年）指数、Wind混合型基金总指数以及期限匹配的非标债权类资产目标收益率，结合产品投资策略并扣除各项费用后，综合测算得出上述业绩比较基准。测算示例仅供参考，具体资产投资比例可根据各类资产的收益水平、流动性特征、信用风险等因素动态调整。</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业绩</w:t>
            </w:r>
            <w:r>
              <w:rPr>
                <w:rFonts w:hint="eastAsia" w:ascii="仿宋" w:hAnsi="仿宋" w:eastAsia="仿宋"/>
                <w:bCs/>
                <w:szCs w:val="21"/>
              </w:rPr>
              <w:t>比较</w:t>
            </w:r>
            <w:r>
              <w:rPr>
                <w:rFonts w:hint="eastAsia" w:ascii="仿宋" w:hAnsi="仿宋" w:eastAsia="仿宋"/>
                <w:bCs/>
                <w:color w:val="000000"/>
                <w:szCs w:val="21"/>
              </w:rPr>
              <w:t>基准是管理人基于产品性质、投资策略、过往经验等因素对产品设定的投资目标，不代表产品的未来表现和实际收益，不构成对产品收益的承诺。</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bCs/>
                <w:color w:val="000000"/>
                <w:szCs w:val="21"/>
              </w:rPr>
              <w:t>华夏理财有权根据市场情况及产品运作情况调整业绩比较基准，</w:t>
            </w:r>
            <w:r>
              <w:rPr>
                <w:rFonts w:hint="eastAsia" w:ascii="仿宋" w:hAnsi="仿宋" w:eastAsia="仿宋"/>
                <w:bCs/>
                <w:szCs w:val="21"/>
              </w:rPr>
              <w:t>并至少于新业绩比较基准启用前3个工作日公告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2.本业绩比较基准不构成华夏理财/代销机构对本理财产品的任何收益承诺。</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12月15</w:t>
            </w:r>
            <w:r>
              <w:rPr>
                <w:rFonts w:ascii="仿宋" w:hAnsi="仿宋" w:eastAsia="仿宋"/>
                <w:bCs/>
                <w:szCs w:val="21"/>
              </w:rPr>
              <w:t>日－</w:t>
            </w: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21日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2020</w:t>
            </w:r>
            <w:r>
              <w:rPr>
                <w:rFonts w:ascii="仿宋" w:hAnsi="仿宋" w:eastAsia="仿宋"/>
                <w:bCs/>
                <w:szCs w:val="21"/>
              </w:rPr>
              <w:t>年</w:t>
            </w:r>
            <w:r>
              <w:rPr>
                <w:rFonts w:hint="eastAsia" w:ascii="仿宋" w:hAnsi="仿宋" w:eastAsia="仿宋"/>
                <w:bCs/>
                <w:szCs w:val="21"/>
              </w:rPr>
              <w:t>12</w:t>
            </w:r>
            <w:r>
              <w:rPr>
                <w:rFonts w:ascii="仿宋" w:hAnsi="仿宋" w:eastAsia="仿宋"/>
                <w:bCs/>
                <w:szCs w:val="21"/>
              </w:rPr>
              <w:t>月</w:t>
            </w:r>
            <w:r>
              <w:rPr>
                <w:rFonts w:hint="eastAsia" w:ascii="仿宋" w:hAnsi="仿宋" w:eastAsia="仿宋"/>
                <w:bCs/>
                <w:szCs w:val="21"/>
              </w:rPr>
              <w:t>22</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cs="仿宋"/>
                <w:bCs/>
                <w:szCs w:val="21"/>
              </w:rPr>
              <w:t>发行规模下限</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1000万元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本产品说明书约定的信息披露渠道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color w:val="000000"/>
                <w:szCs w:val="21"/>
              </w:rPr>
              <w:t>最高持有限额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最高持有限额要求：单一投资者持有本产品份额数不得超过本产品份额总数的 50%。</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投资者购买理财产品的金额超过理财账户最高持有限额时，超过的部分管理人确认失败。</w:t>
            </w:r>
            <w:r>
              <w:rPr>
                <w:rFonts w:hint="eastAsia" w:ascii="仿宋" w:hAnsi="仿宋" w:eastAsia="仿宋"/>
                <w:b/>
                <w:szCs w:val="21"/>
              </w:rPr>
              <w:t>投资者同一开放日提交申购、赎回交易，管理人先确认申购交易，并根据申购金额判断是否超过理财账户最高持有限额，可能存在日末投资者的剩余本金小于最高持有限额，但当日申购交易全部或部分失败的情况</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如代销机构规定与本规则不一致的，则以各代销机构规定为准，但不得高于最高持有限额。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如代销机构规定与本规则不一致，则以各代销机构规定为准，但不得低于本追加起点金额。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份额净值为提取管理费、托管费、销售手续费等相关费用后的理财产品份额净值，投资者按该份额净值进行申购、赎回和到期/终止时的分配。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w:t>
            </w:r>
            <w:r>
              <w:rPr>
                <w:rFonts w:ascii="仿宋" w:hAnsi="仿宋" w:eastAsia="仿宋"/>
                <w:bCs/>
                <w:szCs w:val="21"/>
              </w:rPr>
              <w:t>4</w:t>
            </w:r>
            <w:r>
              <w:rPr>
                <w:rFonts w:hint="eastAsia" w:ascii="仿宋" w:hAnsi="仿宋" w:eastAsia="仿宋"/>
                <w:bCs/>
                <w:szCs w:val="21"/>
              </w:rPr>
              <w:t>位，小数点后第</w:t>
            </w:r>
            <w:r>
              <w:rPr>
                <w:rFonts w:ascii="仿宋" w:hAnsi="仿宋" w:eastAsia="仿宋"/>
                <w:bCs/>
                <w:szCs w:val="21"/>
              </w:rPr>
              <w:t>5</w:t>
            </w:r>
            <w:r>
              <w:rPr>
                <w:rFonts w:hint="eastAsia" w:ascii="仿宋" w:hAnsi="仿宋" w:eastAsia="仿宋"/>
                <w:bCs/>
                <w:szCs w:val="21"/>
              </w:rPr>
              <w:t>位四舍五入</w:t>
            </w:r>
            <w:r>
              <w:rPr>
                <w:rFonts w:hint="eastAsia" w:ascii="仿宋" w:hAnsi="仿宋" w:eastAsia="仿宋"/>
                <w:bCs/>
                <w:szCs w:val="21"/>
                <w:lang w:val="en-GB"/>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u w:val="single"/>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开放期/开放日为产品成立后每两年的12月15日（含）起连续五个工作日开放，开放期/开放日如遇非工作日则顺延至下一个工作日。</w:t>
            </w:r>
          </w:p>
          <w:tbl>
            <w:tblPr>
              <w:tblStyle w:val="11"/>
              <w:tblW w:w="6771" w:type="dxa"/>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noWrap w:val="0"/>
                  <w:vAlign w:val="top"/>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交易类型</w:t>
                  </w:r>
                </w:p>
              </w:tc>
              <w:tc>
                <w:tcPr>
                  <w:tcW w:w="5406" w:type="dxa"/>
                  <w:noWrap w:val="0"/>
                  <w:vAlign w:val="top"/>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noWrap w:val="0"/>
                  <w:vAlign w:val="top"/>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申购</w:t>
                  </w:r>
                </w:p>
              </w:tc>
              <w:tc>
                <w:tcPr>
                  <w:tcW w:w="5406" w:type="dxa"/>
                  <w:noWrap w:val="0"/>
                  <w:vAlign w:val="top"/>
                </w:tcPr>
                <w:p>
                  <w:pPr>
                    <w:adjustRightInd w:val="0"/>
                    <w:snapToGrid w:val="0"/>
                    <w:spacing w:line="240" w:lineRule="atLeast"/>
                    <w:ind w:right="-44"/>
                    <w:rPr>
                      <w:rFonts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9:00-17:00。投资者只能于开放日的开放时间内进行申购。投资者若在T日非开放时间提交申购，等同在下一开放时间内提交的申购申请，T日为开放日。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noWrap w:val="0"/>
                  <w:vAlign w:val="top"/>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赎回</w:t>
                  </w:r>
                </w:p>
              </w:tc>
              <w:tc>
                <w:tcPr>
                  <w:tcW w:w="5406" w:type="dxa"/>
                  <w:noWrap w:val="0"/>
                  <w:vAlign w:val="top"/>
                </w:tcPr>
                <w:p>
                  <w:pPr>
                    <w:adjustRightInd w:val="0"/>
                    <w:snapToGrid w:val="0"/>
                    <w:spacing w:line="240" w:lineRule="atLeast"/>
                    <w:ind w:right="-44"/>
                    <w:rPr>
                      <w:rFonts w:ascii="仿宋" w:hAnsi="仿宋" w:eastAsia="仿宋"/>
                      <w:bCs/>
                      <w:szCs w:val="21"/>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9:00-17:00。投资者只能于开放日的开放时间内进行赎回。投资者若在T日非开放时间提交赎回，等同在下一开放时间内提交的赎回申请，T日为开放日。</w:t>
                  </w:r>
                </w:p>
              </w:tc>
            </w:tr>
          </w:tbl>
          <w:p>
            <w:pPr>
              <w:adjustRightInd w:val="0"/>
              <w:snapToGrid w:val="0"/>
              <w:spacing w:line="240" w:lineRule="atLeast"/>
              <w:ind w:right="-44" w:firstLine="422" w:firstLineChars="200"/>
              <w:jc w:val="left"/>
              <w:rPr>
                <w:rFonts w:ascii="仿宋" w:hAnsi="仿宋" w:eastAsia="仿宋"/>
                <w:b/>
                <w:bCs/>
                <w:szCs w:val="21"/>
              </w:rPr>
            </w:pPr>
          </w:p>
          <w:p>
            <w:pPr>
              <w:adjustRightInd w:val="0"/>
              <w:snapToGrid w:val="0"/>
              <w:spacing w:line="240" w:lineRule="atLeast"/>
              <w:ind w:right="-44" w:firstLine="420" w:firstLineChars="200"/>
              <w:jc w:val="left"/>
              <w:rPr>
                <w:rFonts w:ascii="仿宋" w:hAnsi="仿宋" w:eastAsia="仿宋"/>
                <w:szCs w:val="21"/>
              </w:rPr>
            </w:pPr>
            <w:r>
              <w:rPr>
                <w:rFonts w:hint="eastAsia" w:ascii="仿宋" w:hAnsi="仿宋" w:eastAsia="仿宋"/>
                <w:szCs w:val="21"/>
              </w:rPr>
              <w:t>代销机构如另有规定，从其规定。</w:t>
            </w:r>
          </w:p>
          <w:p>
            <w:pPr>
              <w:adjustRightInd w:val="0"/>
              <w:snapToGrid w:val="0"/>
              <w:spacing w:line="240" w:lineRule="atLeast"/>
              <w:ind w:right="-44" w:firstLine="422" w:firstLineChars="200"/>
              <w:jc w:val="left"/>
              <w:rPr>
                <w:rFonts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w:t>
            </w:r>
            <w:r>
              <w:rPr>
                <w:rFonts w:ascii="仿宋" w:hAnsi="仿宋" w:eastAsia="仿宋"/>
                <w:bCs/>
                <w:szCs w:val="21"/>
              </w:rPr>
              <w:t>，</w:t>
            </w:r>
            <w:r>
              <w:rPr>
                <w:rFonts w:hint="eastAsia" w:ascii="仿宋" w:hAnsi="仿宋" w:eastAsia="仿宋"/>
                <w:bCs/>
                <w:szCs w:val="21"/>
              </w:rPr>
              <w:t>视</w:t>
            </w:r>
            <w:r>
              <w:rPr>
                <w:rFonts w:ascii="仿宋" w:hAnsi="仿宋" w:eastAsia="仿宋"/>
                <w:bCs/>
                <w:szCs w:val="21"/>
              </w:rPr>
              <w:t>同在</w:t>
            </w:r>
            <w:r>
              <w:rPr>
                <w:rFonts w:hint="eastAsia" w:ascii="仿宋" w:hAnsi="仿宋" w:eastAsia="仿宋"/>
                <w:bCs/>
                <w:szCs w:val="21"/>
              </w:rPr>
              <w:t>下</w:t>
            </w:r>
            <w:r>
              <w:rPr>
                <w:rFonts w:ascii="仿宋" w:hAnsi="仿宋" w:eastAsia="仿宋"/>
                <w:bCs/>
                <w:szCs w:val="21"/>
              </w:rPr>
              <w:t>一</w:t>
            </w:r>
            <w:r>
              <w:rPr>
                <w:rFonts w:hint="eastAsia" w:ascii="仿宋" w:hAnsi="仿宋" w:eastAsia="仿宋"/>
                <w:bCs/>
                <w:szCs w:val="21"/>
              </w:rPr>
              <w:t>个申购/赎回</w:t>
            </w:r>
            <w:r>
              <w:rPr>
                <w:rFonts w:ascii="仿宋" w:hAnsi="仿宋" w:eastAsia="仿宋"/>
                <w:bCs/>
                <w:szCs w:val="21"/>
              </w:rPr>
              <w:t>开放日开放时间内</w:t>
            </w:r>
            <w:r>
              <w:rPr>
                <w:rFonts w:hint="eastAsia" w:ascii="仿宋" w:hAnsi="仿宋" w:eastAsia="仿宋"/>
                <w:bCs/>
                <w:szCs w:val="21"/>
              </w:rPr>
              <w:t>提交</w:t>
            </w:r>
            <w:r>
              <w:rPr>
                <w:rFonts w:ascii="仿宋" w:hAnsi="仿宋" w:eastAsia="仿宋"/>
                <w:bCs/>
                <w:szCs w:val="21"/>
              </w:rPr>
              <w:t>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w:t>
            </w:r>
          </w:p>
          <w:p>
            <w:pPr>
              <w:adjustRightInd w:val="0"/>
              <w:snapToGrid w:val="0"/>
              <w:spacing w:line="240" w:lineRule="atLeast"/>
              <w:ind w:right="-44" w:firstLine="420" w:firstLineChars="200"/>
              <w:rPr>
                <w:rFonts w:ascii="仿宋" w:hAnsi="仿宋" w:eastAsia="仿宋"/>
                <w:bCs/>
                <w:szCs w:val="21"/>
              </w:rPr>
            </w:pPr>
            <w:r>
              <w:rPr>
                <w:rFonts w:hint="eastAsia" w:ascii="仿宋" w:hAnsi="仿宋" w:eastAsia="仿宋"/>
                <w:bCs/>
                <w:szCs w:val="21"/>
              </w:rPr>
              <w:t>华夏银行/华夏理财将在预约购买申请提出日之后的第一个申购开放日根据预约购买申请扣款，如扣款失败,则预约购买申请不成功。</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通过华夏银行/华夏理财购买的，T日扣款；通过其他代销机构购买的，扣款规则以代销机构规定为准。</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color w:val="FF6600"/>
                <w:szCs w:val="21"/>
              </w:rPr>
            </w:pPr>
            <w:r>
              <w:rPr>
                <w:rFonts w:hint="eastAsia" w:ascii="仿宋" w:hAnsi="仿宋" w:eastAsia="仿宋"/>
                <w:bCs/>
                <w:szCs w:val="21"/>
              </w:rPr>
              <w:t>通过华夏理财赎回的，投资者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；通过华夏银行赎回的，投资者</w:t>
            </w:r>
            <w:r>
              <w:rPr>
                <w:rFonts w:ascii="仿宋" w:hAnsi="仿宋" w:eastAsia="仿宋"/>
                <w:bCs/>
                <w:szCs w:val="21"/>
              </w:rPr>
              <w:t>赎回资金</w:t>
            </w:r>
            <w:r>
              <w:rPr>
                <w:rFonts w:hint="eastAsia" w:ascii="仿宋" w:hAnsi="仿宋" w:eastAsia="仿宋"/>
                <w:bCs/>
                <w:szCs w:val="21"/>
              </w:rPr>
              <w:t>于T+2日24点前</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right="-44" w:firstLine="420" w:firstLineChars="200"/>
              <w:jc w:val="left"/>
              <w:rPr>
                <w:rFonts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spacing w:line="240" w:lineRule="atLeast"/>
              <w:ind w:firstLine="420" w:firstLineChars="200"/>
              <w:rPr>
                <w:rFonts w:ascii="仿宋" w:hAnsi="仿宋" w:eastAsia="仿宋"/>
                <w:bCs/>
                <w:szCs w:val="21"/>
                <w:u w:val="single"/>
              </w:rPr>
            </w:pPr>
            <w:r>
              <w:rPr>
                <w:rFonts w:ascii="仿宋" w:hAnsi="仿宋" w:eastAsia="仿宋"/>
                <w:bCs/>
                <w:szCs w:val="21"/>
              </w:rPr>
              <w:t>赎回金额＝赎回份额×赎回</w:t>
            </w:r>
            <w:r>
              <w:rPr>
                <w:rFonts w:hint="eastAsia" w:ascii="仿宋" w:hAnsi="仿宋" w:eastAsia="仿宋"/>
                <w:bCs/>
                <w:szCs w:val="21"/>
              </w:rPr>
              <w:t>申请日日终的产品份额净值，保留到小数点后</w:t>
            </w:r>
            <w:r>
              <w:rPr>
                <w:rFonts w:ascii="仿宋" w:hAnsi="仿宋" w:eastAsia="仿宋"/>
                <w:bCs/>
                <w:szCs w:val="21"/>
                <w:u w:val="single"/>
              </w:rPr>
              <w:t>2</w:t>
            </w:r>
            <w:r>
              <w:rPr>
                <w:rFonts w:hint="eastAsia" w:ascii="仿宋" w:hAnsi="仿宋" w:eastAsia="仿宋"/>
                <w:bCs/>
                <w:szCs w:val="21"/>
              </w:rPr>
              <w:t>位，小数点后第</w:t>
            </w:r>
            <w:r>
              <w:rPr>
                <w:rFonts w:ascii="仿宋" w:hAnsi="仿宋" w:eastAsia="仿宋"/>
                <w:bCs/>
                <w:szCs w:val="21"/>
                <w:u w:val="single"/>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华夏理财将于理财产品到期/终止</w:t>
            </w:r>
            <w:r>
              <w:rPr>
                <w:rFonts w:ascii="仿宋" w:hAnsi="仿宋" w:eastAsia="仿宋"/>
                <w:bCs/>
                <w:szCs w:val="21"/>
              </w:rPr>
              <w:t>日</w:t>
            </w:r>
            <w:r>
              <w:rPr>
                <w:rFonts w:hint="eastAsia" w:ascii="仿宋" w:hAnsi="仿宋" w:eastAsia="仿宋"/>
                <w:bCs/>
                <w:szCs w:val="21"/>
              </w:rPr>
              <w:t>后2个工作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根据实际投资结果向华夏理财客户及代销机构一次性划付理财本金及收益（如有），代销机构客户的理财本金及收益（如有）的具体到账账户、到账日及到账时间以代销机构划付规定为准。</w:t>
            </w:r>
          </w:p>
          <w:p>
            <w:pPr>
              <w:spacing w:line="240" w:lineRule="atLeast"/>
              <w:ind w:firstLine="420" w:firstLineChars="200"/>
              <w:rPr>
                <w:rFonts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巨额赎回</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Cs/>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ascii="仿宋" w:hAnsi="仿宋" w:eastAsia="仿宋"/>
                <w:bCs/>
                <w:szCs w:val="21"/>
                <w:u w:val="single"/>
              </w:rPr>
              <w:t>10</w:t>
            </w:r>
            <w:r>
              <w:rPr>
                <w:rFonts w:ascii="仿宋" w:hAnsi="仿宋" w:eastAsia="仿宋"/>
                <w:bCs/>
                <w:szCs w:val="21"/>
              </w:rPr>
              <w:t>%为巨额赎回</w:t>
            </w:r>
            <w:r>
              <w:rPr>
                <w:rFonts w:hint="eastAsia" w:ascii="仿宋" w:hAnsi="仿宋" w:eastAsia="仿宋"/>
                <w:bCs/>
                <w:szCs w:val="21"/>
              </w:rPr>
              <w:t>。</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hint="eastAsia" w:ascii="仿宋" w:hAnsi="仿宋" w:eastAsia="仿宋"/>
                <w:b/>
                <w:szCs w:val="21"/>
              </w:rPr>
              <w:t>如发生巨额赎回，</w:t>
            </w:r>
            <w:r>
              <w:rPr>
                <w:rFonts w:ascii="仿宋" w:hAnsi="仿宋" w:eastAsia="仿宋"/>
                <w:b/>
                <w:szCs w:val="21"/>
              </w:rPr>
              <w:t>管理人</w:t>
            </w:r>
            <w:r>
              <w:rPr>
                <w:rFonts w:hint="eastAsia" w:ascii="仿宋" w:hAnsi="仿宋" w:eastAsia="仿宋"/>
                <w:b/>
                <w:szCs w:val="21"/>
              </w:rPr>
              <w:t>当日办理的赎回份额不低于前一日终理财产品总份额的10%。</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ascii="仿宋" w:hAnsi="仿宋" w:eastAsia="仿宋"/>
                <w:b/>
                <w:szCs w:val="21"/>
              </w:rPr>
              <w:t>管理人</w:t>
            </w:r>
            <w:r>
              <w:rPr>
                <w:rFonts w:hint="eastAsia" w:ascii="仿宋" w:hAnsi="仿宋" w:eastAsia="仿宋"/>
                <w:b/>
                <w:bCs/>
                <w:szCs w:val="21"/>
              </w:rPr>
              <w:t>有权</w:t>
            </w:r>
            <w:r>
              <w:rPr>
                <w:rFonts w:hint="eastAsia" w:ascii="仿宋" w:hAnsi="仿宋" w:eastAsia="仿宋"/>
                <w:b/>
                <w:szCs w:val="21"/>
              </w:rPr>
              <w:t>对其余的赎回申请</w:t>
            </w:r>
            <w:r>
              <w:rPr>
                <w:rFonts w:hint="eastAsia" w:ascii="仿宋" w:hAnsi="仿宋" w:eastAsia="仿宋"/>
                <w:b/>
                <w:bCs/>
                <w:szCs w:val="21"/>
              </w:rPr>
              <w:t>采取</w:t>
            </w:r>
            <w:r>
              <w:rPr>
                <w:rFonts w:hint="eastAsia" w:ascii="仿宋" w:hAnsi="仿宋" w:eastAsia="仿宋"/>
                <w:b/>
                <w:szCs w:val="21"/>
              </w:rPr>
              <w:t>暂停接受的</w:t>
            </w:r>
            <w:r>
              <w:rPr>
                <w:rFonts w:ascii="仿宋" w:hAnsi="仿宋" w:eastAsia="仿宋"/>
                <w:b/>
                <w:szCs w:val="21"/>
              </w:rPr>
              <w:t>应对措施。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投资者可撤销已提交的认购申请（仅可全额撤销），具体规定如下：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认购的，投资者撤销的本金在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通过其他代销机构认购的，撤销规定以代销机构规定为准。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投资者可于开放日开放时间内撤销当日已提交的申购、赎回申请（仅可全额撤销），</w:t>
            </w:r>
          </w:p>
          <w:p>
            <w:pPr>
              <w:adjustRightInd w:val="0"/>
              <w:snapToGrid w:val="0"/>
              <w:spacing w:line="240" w:lineRule="atLeast"/>
              <w:rPr>
                <w:rFonts w:ascii="仿宋" w:hAnsi="仿宋" w:eastAsia="仿宋"/>
                <w:bCs/>
                <w:szCs w:val="21"/>
              </w:rPr>
            </w:pPr>
            <w:r>
              <w:rPr>
                <w:rFonts w:hint="eastAsia" w:ascii="仿宋" w:hAnsi="仿宋" w:eastAsia="仿宋"/>
                <w:bCs/>
                <w:szCs w:val="21"/>
              </w:rPr>
              <w:t>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申购的，投资者撤销的本金在</w:t>
            </w:r>
            <w:r>
              <w:rPr>
                <w:rFonts w:ascii="仿宋" w:hAnsi="仿宋" w:eastAsia="仿宋"/>
                <w:bCs/>
                <w:szCs w:val="21"/>
                <w:u w:val="single"/>
              </w:rPr>
              <w:t>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17:30（不含）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0"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0.0</w:t>
            </w:r>
            <w:r>
              <w:rPr>
                <w:rFonts w:ascii="仿宋" w:hAnsi="仿宋" w:eastAsia="仿宋"/>
                <w:bCs/>
                <w:szCs w:val="21"/>
              </w:rPr>
              <w:t>5</w:t>
            </w:r>
            <w:r>
              <w:rPr>
                <w:rFonts w:hint="eastAsia" w:ascii="仿宋" w:hAnsi="仿宋" w:eastAsia="仿宋"/>
                <w:bCs/>
                <w:szCs w:val="21"/>
              </w:rPr>
              <w:t>%/年，以前一日资产净值为基数，每日计提。公式如下：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F=E×【0.0</w:t>
            </w:r>
            <w:r>
              <w:rPr>
                <w:rFonts w:ascii="仿宋" w:hAnsi="仿宋" w:eastAsia="仿宋"/>
                <w:bCs/>
                <w:szCs w:val="21"/>
              </w:rPr>
              <w:t>5</w:t>
            </w:r>
            <w:r>
              <w:rPr>
                <w:rFonts w:hint="eastAsia" w:ascii="仿宋" w:hAnsi="仿宋" w:eastAsia="仿宋"/>
                <w:bCs/>
                <w:szCs w:val="21"/>
              </w:rPr>
              <w:t>%】</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F为托管费；E为计算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cs="Cambria"/>
                <w:bCs/>
                <w:szCs w:val="21"/>
              </w:rPr>
              <w:t>销售手续费率</w:t>
            </w:r>
            <w:r>
              <w:rPr>
                <w:rFonts w:hint="eastAsia" w:ascii="仿宋" w:hAnsi="仿宋" w:eastAsia="仿宋"/>
                <w:bCs/>
                <w:szCs w:val="21"/>
              </w:rPr>
              <w:t>0.30%/年，以前一日资产净值为基数，每日计提。</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F=E×【0.30%】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F为销售</w:t>
            </w:r>
            <w:r>
              <w:rPr>
                <w:rFonts w:ascii="仿宋" w:hAnsi="仿宋" w:eastAsia="仿宋"/>
                <w:bCs/>
                <w:szCs w:val="21"/>
              </w:rPr>
              <w:t>手续费</w:t>
            </w:r>
            <w:r>
              <w:rPr>
                <w:rFonts w:hint="eastAsia" w:ascii="仿宋" w:hAnsi="仿宋" w:eastAsia="仿宋"/>
                <w:bCs/>
                <w:szCs w:val="21"/>
              </w:rPr>
              <w:t>；E为计算</w:t>
            </w:r>
            <w:r>
              <w:rPr>
                <w:rFonts w:ascii="仿宋" w:hAnsi="仿宋" w:eastAsia="仿宋"/>
                <w:bCs/>
                <w:szCs w:val="21"/>
              </w:rPr>
              <w:t>基数</w:t>
            </w:r>
            <w:r>
              <w:rPr>
                <w:rFonts w:hint="eastAsia" w:ascii="仿宋" w:hAnsi="仿宋" w:eastAsia="仿宋"/>
                <w:bCs/>
                <w:szCs w:val="21"/>
              </w:rPr>
              <w:t>。</w:t>
            </w:r>
            <w:r>
              <w:rPr>
                <w:rFonts w:hint="eastAsia" w:ascii="仿宋" w:hAnsi="仿宋" w:eastAsia="仿宋"/>
                <w:szCs w:val="21"/>
              </w:rPr>
              <w:t>（销售手续费由销售服务机构收取。）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固定管理费率</w:t>
            </w:r>
            <w:r>
              <w:rPr>
                <w:rFonts w:ascii="仿宋" w:hAnsi="仿宋" w:eastAsia="仿宋"/>
                <w:bCs/>
                <w:szCs w:val="21"/>
              </w:rPr>
              <w:t>0.30%</w:t>
            </w:r>
            <w:r>
              <w:rPr>
                <w:rFonts w:hint="eastAsia" w:ascii="仿宋" w:hAnsi="仿宋" w:eastAsia="仿宋"/>
                <w:bCs/>
                <w:szCs w:val="21"/>
              </w:rPr>
              <w:t xml:space="preserve"> /年，以前一日资产净值为基数，每日计提。公式如下：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w:t>
            </w:r>
            <w:r>
              <w:rPr>
                <w:rFonts w:ascii="仿宋" w:hAnsi="仿宋" w:eastAsia="仿宋"/>
                <w:bCs/>
                <w:szCs w:val="21"/>
              </w:rPr>
              <w:t>0.30%</w:t>
            </w:r>
            <w:r>
              <w:rPr>
                <w:rFonts w:hint="eastAsia" w:ascii="仿宋" w:hAnsi="仿宋" w:eastAsia="仿宋"/>
                <w:bCs/>
                <w:szCs w:val="21"/>
              </w:rPr>
              <w:t>】</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F为固定管理费；E为计算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等）后，本期产品实现的年化收益率低于或等于4.50%，则管理人不收取超额管理费；超过4.50%的部分，</w:t>
            </w:r>
            <w:r>
              <w:rPr>
                <w:rFonts w:ascii="仿宋" w:hAnsi="仿宋" w:eastAsia="仿宋"/>
                <w:bCs/>
                <w:szCs w:val="21"/>
              </w:rPr>
              <w:t>50%</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ascii="仿宋" w:hAnsi="仿宋" w:eastAsia="仿宋"/>
                <w:bCs/>
                <w:szCs w:val="21"/>
                <w:u w:val="single"/>
              </w:rPr>
            </w:pPr>
            <w:r>
              <w:rPr>
                <w:rFonts w:hint="eastAsia" w:ascii="仿宋" w:hAnsi="仿宋" w:eastAsia="仿宋"/>
                <w:b/>
                <w:color w:val="000000"/>
                <w:szCs w:val="21"/>
              </w:rPr>
              <w:t>华夏理财有权根据市场</w:t>
            </w:r>
            <w:r>
              <w:rPr>
                <w:rFonts w:hint="eastAsia" w:ascii="仿宋" w:hAnsi="仿宋" w:eastAsia="仿宋"/>
                <w:b/>
                <w:szCs w:val="21"/>
              </w:rPr>
              <w:t>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本产品说明书约定的信息披露渠道</w:t>
            </w:r>
            <w:r>
              <w:rPr>
                <w:rFonts w:hint="eastAsia" w:ascii="仿宋" w:hAnsi="仿宋" w:eastAsia="仿宋"/>
                <w:b/>
                <w:szCs w:val="21"/>
              </w:rPr>
              <w:t>进行公告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rPr>
              <w:t>每周五后的</w:t>
            </w:r>
            <w:r>
              <w:rPr>
                <w:rFonts w:hint="eastAsia" w:ascii="仿宋" w:hAnsi="仿宋" w:eastAsia="仿宋"/>
                <w:bCs/>
                <w:szCs w:val="21"/>
              </w:rPr>
              <w:t>第3个工作日为份额净值公告日，公告</w:t>
            </w:r>
            <w:r>
              <w:rPr>
                <w:rFonts w:hint="eastAsia" w:ascii="仿宋" w:hAnsi="仿宋" w:eastAsia="仿宋"/>
              </w:rPr>
              <w:t>每周五</w:t>
            </w:r>
            <w:r>
              <w:rPr>
                <w:rFonts w:hint="eastAsia" w:ascii="仿宋" w:hAnsi="仿宋" w:eastAsia="仿宋"/>
                <w:bCs/>
                <w:szCs w:val="21"/>
              </w:rPr>
              <w:t>份额净值，如周五为非工作日，则公告周五上1个工作日的份额净值。如当周没有第3个工作日，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w:t>
            </w:r>
            <w:r>
              <w:rPr>
                <w:rFonts w:ascii="仿宋" w:hAnsi="仿宋" w:eastAsia="仿宋"/>
                <w:bCs/>
                <w:szCs w:val="21"/>
              </w:rPr>
              <w:t>2</w:t>
            </w:r>
            <w:r>
              <w:rPr>
                <w:rFonts w:hint="eastAsia" w:ascii="仿宋" w:hAnsi="仿宋" w:eastAsia="仿宋"/>
                <w:bCs/>
                <w:szCs w:val="21"/>
              </w:rPr>
              <w:t>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摆动定价</w:t>
            </w:r>
          </w:p>
        </w:tc>
        <w:tc>
          <w:tcPr>
            <w:tcW w:w="7404" w:type="dxa"/>
            <w:tcBorders>
              <w:top w:val="single" w:color="auto" w:sz="4" w:space="0"/>
              <w:left w:val="single" w:color="auto" w:sz="4" w:space="0"/>
              <w:bottom w:val="single" w:color="auto" w:sz="4" w:space="0"/>
              <w:right w:val="single" w:color="auto" w:sz="4" w:space="0"/>
            </w:tcBorders>
            <w:noWrap w:val="0"/>
            <w:vAlign w:val="top"/>
          </w:tcPr>
          <w:p>
            <w:pPr>
              <w:adjustRightInd w:val="0"/>
              <w:snapToGrid w:val="0"/>
              <w:spacing w:line="276" w:lineRule="auto"/>
              <w:ind w:firstLine="420" w:firstLineChars="200"/>
              <w:jc w:val="left"/>
            </w:pPr>
            <w:r>
              <w:rPr>
                <w:rFonts w:hint="eastAsia" w:ascii="仿宋" w:hAnsi="仿宋" w:eastAsia="仿宋"/>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pPr>
              <w:adjustRightInd w:val="0"/>
              <w:snapToGrid w:val="0"/>
              <w:spacing w:line="276" w:lineRule="auto"/>
              <w:ind w:firstLine="420" w:firstLineChars="200"/>
              <w:jc w:val="left"/>
            </w:pPr>
            <w:r>
              <w:rPr>
                <w:rFonts w:hint="eastAsia" w:ascii="仿宋" w:hAnsi="仿宋" w:eastAsia="仿宋"/>
                <w:bCs/>
                <w:szCs w:val="21"/>
              </w:rPr>
              <w:t>具体操作规范遵循相关法律法规以及监管部门、自律规则的规定，并以届时管理人信息披露为准。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jc w:val="left"/>
              <w:rPr>
                <w:rFonts w:ascii="仿宋" w:hAnsi="仿宋" w:eastAsia="仿宋" w:cs="宋体"/>
                <w:kern w:val="0"/>
                <w:szCs w:val="21"/>
              </w:rPr>
            </w:pPr>
            <w:r>
              <w:rPr>
                <w:rFonts w:hint="eastAsia" w:ascii="仿宋" w:hAnsi="仿宋" w:eastAsia="仿宋"/>
                <w:bCs/>
                <w:szCs w:val="21"/>
              </w:rPr>
              <w:t>产品</w:t>
            </w:r>
            <w:r>
              <w:rPr>
                <w:rFonts w:ascii="仿宋" w:hAnsi="仿宋" w:eastAsia="仿宋"/>
                <w:bCs/>
                <w:szCs w:val="21"/>
              </w:rPr>
              <w:t>管理人可以在产品存续期</w:t>
            </w:r>
            <w:r>
              <w:rPr>
                <w:rFonts w:hint="eastAsia" w:ascii="仿宋" w:hAnsi="仿宋" w:eastAsia="仿宋"/>
                <w:bCs/>
                <w:szCs w:val="21"/>
              </w:rPr>
              <w:t>根据</w:t>
            </w:r>
            <w:r>
              <w:rPr>
                <w:rFonts w:ascii="仿宋" w:hAnsi="仿宋" w:eastAsia="仿宋"/>
                <w:bCs/>
                <w:szCs w:val="21"/>
              </w:rPr>
              <w:t>投资情况选择分红</w:t>
            </w:r>
            <w:r>
              <w:rPr>
                <w:rFonts w:hint="eastAsia" w:ascii="仿宋" w:hAnsi="仿宋" w:eastAsia="仿宋"/>
                <w:bCs/>
                <w:szCs w:val="21"/>
              </w:rPr>
              <w:t>或</w:t>
            </w:r>
            <w:r>
              <w:rPr>
                <w:rFonts w:ascii="仿宋" w:hAnsi="仿宋" w:eastAsia="仿宋"/>
                <w:bCs/>
                <w:szCs w:val="21"/>
              </w:rPr>
              <w:t>不分红</w:t>
            </w:r>
            <w:r>
              <w:rPr>
                <w:rFonts w:hint="eastAsia" w:ascii="仿宋" w:hAnsi="仿宋" w:eastAsia="仿宋"/>
                <w:bCs/>
                <w:szCs w:val="21"/>
              </w:rPr>
              <w:t>，若</w:t>
            </w:r>
            <w:r>
              <w:rPr>
                <w:rFonts w:ascii="仿宋" w:hAnsi="仿宋" w:eastAsia="仿宋"/>
                <w:bCs/>
                <w:szCs w:val="21"/>
              </w:rPr>
              <w:t>分红，将以现金</w:t>
            </w:r>
            <w:r>
              <w:rPr>
                <w:rFonts w:hint="eastAsia" w:ascii="仿宋" w:hAnsi="仿宋" w:eastAsia="仿宋"/>
                <w:bCs/>
                <w:szCs w:val="21"/>
              </w:rPr>
              <w:t>分红或</w:t>
            </w:r>
            <w:r>
              <w:rPr>
                <w:rFonts w:ascii="仿宋" w:hAnsi="仿宋" w:eastAsia="仿宋"/>
                <w:bCs/>
                <w:szCs w:val="21"/>
              </w:rPr>
              <w:t>红利再投资方式</w:t>
            </w:r>
            <w:r>
              <w:rPr>
                <w:rFonts w:hint="eastAsia" w:ascii="仿宋" w:hAnsi="仿宋" w:eastAsia="仿宋"/>
                <w:bCs/>
                <w:szCs w:val="21"/>
              </w:rPr>
              <w:t>进行，</w:t>
            </w:r>
            <w:r>
              <w:rPr>
                <w:rFonts w:ascii="仿宋" w:hAnsi="仿宋" w:eastAsia="仿宋"/>
                <w:bCs/>
                <w:szCs w:val="21"/>
              </w:rPr>
              <w:t>具体以公告为准</w:t>
            </w:r>
            <w:r>
              <w:rPr>
                <w:rFonts w:hint="eastAsia" w:ascii="仿宋" w:hAnsi="仿宋" w:eastAsia="仿宋"/>
                <w:bCs/>
                <w:szCs w:val="21"/>
              </w:rPr>
              <w:t>。</w:t>
            </w:r>
            <w:r>
              <w:rPr>
                <w:rFonts w:hint="eastAsia" w:ascii="仿宋" w:hAnsi="仿宋" w:eastAsia="仿宋" w:cs="宋体"/>
                <w:kern w:val="0"/>
                <w:szCs w:val="21"/>
              </w:rPr>
              <w:t>本理财产品</w:t>
            </w:r>
            <w:r>
              <w:rPr>
                <w:rFonts w:ascii="仿宋" w:hAnsi="仿宋" w:eastAsia="仿宋" w:cs="宋体"/>
                <w:kern w:val="0"/>
                <w:szCs w:val="21"/>
              </w:rPr>
              <w:t>分红，</w:t>
            </w:r>
            <w:r>
              <w:rPr>
                <w:rFonts w:hint="eastAsia" w:ascii="仿宋" w:hAnsi="仿宋" w:eastAsia="仿宋" w:cs="宋体"/>
                <w:kern w:val="0"/>
                <w:szCs w:val="21"/>
              </w:rPr>
              <w:t>将于</w:t>
            </w:r>
            <w:r>
              <w:rPr>
                <w:rFonts w:ascii="仿宋" w:hAnsi="仿宋" w:eastAsia="仿宋" w:cs="宋体"/>
                <w:kern w:val="0"/>
                <w:szCs w:val="21"/>
              </w:rPr>
              <w:t>分红</w:t>
            </w:r>
            <w:r>
              <w:rPr>
                <w:rFonts w:hint="eastAsia" w:ascii="仿宋" w:hAnsi="仿宋" w:eastAsia="仿宋" w:cs="宋体"/>
                <w:kern w:val="0"/>
                <w:szCs w:val="21"/>
              </w:rPr>
              <w:t>日</w:t>
            </w:r>
            <w:r>
              <w:rPr>
                <w:rFonts w:ascii="仿宋" w:hAnsi="仿宋" w:eastAsia="仿宋" w:cs="宋体"/>
                <w:kern w:val="0"/>
                <w:szCs w:val="21"/>
              </w:rPr>
              <w:t>前</w:t>
            </w:r>
            <w:r>
              <w:rPr>
                <w:rFonts w:hint="eastAsia" w:ascii="仿宋" w:hAnsi="仿宋" w:eastAsia="仿宋"/>
                <w:bCs/>
                <w:szCs w:val="21"/>
              </w:rPr>
              <w:t>3</w:t>
            </w:r>
            <w:r>
              <w:rPr>
                <w:rFonts w:hint="eastAsia" w:ascii="仿宋" w:hAnsi="仿宋" w:eastAsia="仿宋" w:cs="宋体"/>
                <w:kern w:val="0"/>
                <w:szCs w:val="21"/>
              </w:rPr>
              <w:t>个</w:t>
            </w:r>
            <w:r>
              <w:rPr>
                <w:rFonts w:ascii="仿宋" w:hAnsi="仿宋" w:eastAsia="仿宋" w:cs="宋体"/>
                <w:kern w:val="0"/>
                <w:szCs w:val="21"/>
              </w:rPr>
              <w:t>工作日通过</w:t>
            </w:r>
            <w:r>
              <w:rPr>
                <w:rFonts w:hint="eastAsia" w:ascii="仿宋" w:hAnsi="仿宋" w:eastAsia="仿宋" w:cs="宋体"/>
                <w:kern w:val="0"/>
                <w:szCs w:val="21"/>
              </w:rPr>
              <w:t>本产品说明书约定的信息披露</w:t>
            </w:r>
            <w:r>
              <w:rPr>
                <w:rFonts w:ascii="仿宋" w:hAnsi="仿宋" w:eastAsia="仿宋" w:cs="宋体"/>
                <w:kern w:val="0"/>
                <w:szCs w:val="21"/>
              </w:rPr>
              <w:t>渠道</w:t>
            </w:r>
            <w:r>
              <w:rPr>
                <w:rFonts w:hint="eastAsia" w:ascii="仿宋" w:hAnsi="仿宋" w:eastAsia="仿宋" w:cs="宋体"/>
                <w:kern w:val="0"/>
                <w:szCs w:val="21"/>
              </w:rPr>
              <w:t>公布</w:t>
            </w:r>
            <w:r>
              <w:rPr>
                <w:rFonts w:ascii="仿宋" w:hAnsi="仿宋" w:eastAsia="仿宋" w:cs="宋体"/>
                <w:kern w:val="0"/>
                <w:szCs w:val="21"/>
              </w:rPr>
              <w:t>分红</w:t>
            </w:r>
            <w:r>
              <w:rPr>
                <w:rFonts w:hint="eastAsia" w:ascii="仿宋" w:hAnsi="仿宋" w:eastAsia="仿宋" w:cs="宋体"/>
                <w:kern w:val="0"/>
                <w:szCs w:val="21"/>
              </w:rPr>
              <w:t>方案</w:t>
            </w:r>
            <w:r>
              <w:rPr>
                <w:rFonts w:ascii="仿宋" w:hAnsi="仿宋" w:eastAsia="仿宋" w:cs="宋体"/>
                <w:kern w:val="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本产品说明书约定的信息披露渠道</w:t>
            </w:r>
            <w:r>
              <w:rPr>
                <w:rFonts w:ascii="仿宋" w:hAnsi="仿宋" w:eastAsia="仿宋"/>
                <w:b/>
                <w:szCs w:val="21"/>
              </w:rPr>
              <w:t>公告</w:t>
            </w:r>
            <w:r>
              <w:rPr>
                <w:rFonts w:hint="eastAsia" w:ascii="仿宋" w:hAnsi="仿宋" w:eastAsia="仿宋"/>
                <w:bCs/>
                <w:szCs w:val="21"/>
              </w:rPr>
              <w:t>。除本产品说明书第十部分“特别提示”所列情形外，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w:t>
            </w:r>
            <w:r>
              <w:rPr>
                <w:rFonts w:ascii="仿宋" w:hAnsi="仿宋" w:eastAsia="仿宋"/>
                <w:bCs/>
                <w:szCs w:val="21"/>
              </w:rPr>
              <w:t>1</w:t>
            </w:r>
            <w:r>
              <w:rPr>
                <w:rFonts w:hint="eastAsia" w:ascii="仿宋" w:hAnsi="仿宋" w:eastAsia="仿宋"/>
                <w:bCs/>
                <w:szCs w:val="21"/>
              </w:rPr>
              <w:t>000万份时；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本产品说明书约定的信息披露渠道</w:t>
            </w:r>
            <w:r>
              <w:rPr>
                <w:rFonts w:ascii="仿宋" w:hAnsi="仿宋" w:eastAsia="仿宋"/>
                <w:bCs/>
                <w:szCs w:val="21"/>
              </w:rPr>
              <w:t>公告</w:t>
            </w:r>
            <w:r>
              <w:rPr>
                <w:rFonts w:hint="eastAsia" w:ascii="仿宋" w:hAnsi="仿宋" w:eastAsia="仿宋"/>
                <w:bCs/>
                <w:szCs w:val="21"/>
              </w:rPr>
              <w:t>相关信息。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（4</w:t>
            </w:r>
            <w:r>
              <w:rPr>
                <w:rFonts w:hint="eastAsia" w:ascii="仿宋" w:hAnsi="仿宋" w:eastAsia="仿宋"/>
                <w:bCs/>
                <w:szCs w:val="21"/>
              </w:rPr>
              <w:t>）</w:t>
            </w:r>
            <w:r>
              <w:rPr>
                <w:rFonts w:hint="eastAsia" w:ascii="仿宋" w:hAnsi="仿宋" w:eastAsia="仿宋" w:cs="宋体"/>
                <w:kern w:val="0"/>
                <w:szCs w:val="21"/>
              </w:rPr>
              <w:t>理财产品赎回申请/到期/终止日（不含）至资金到账日（不含）之间，投资者资金不计存款利息及理财收益。</w:t>
            </w:r>
          </w:p>
        </w:tc>
      </w:tr>
    </w:tbl>
    <w:p>
      <w:pPr>
        <w:pStyle w:val="18"/>
        <w:snapToGrid w:val="0"/>
        <w:spacing w:after="156" w:afterLines="50" w:line="400" w:lineRule="exact"/>
        <w:ind w:firstLine="482" w:firstLineChars="200"/>
        <w:jc w:val="both"/>
        <w:rPr>
          <w:rFonts w:ascii="Times New Roman" w:eastAsia="黑体" w:cs="Times New Roman"/>
          <w:b/>
          <w:color w:val="auto"/>
        </w:rPr>
      </w:pP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本理财产品将主要投资于</w:t>
      </w:r>
      <w:r>
        <w:rPr>
          <w:rFonts w:hint="eastAsia" w:eastAsia="仿宋"/>
          <w:color w:val="000000"/>
          <w:kern w:val="0"/>
          <w:sz w:val="24"/>
        </w:rPr>
        <w:t>固定收益类</w:t>
      </w:r>
      <w:r>
        <w:rPr>
          <w:rFonts w:hint="eastAsia" w:ascii="仿宋" w:hAnsi="仿宋" w:eastAsia="仿宋" w:cs="仿宋"/>
          <w:color w:val="000000"/>
          <w:kern w:val="0"/>
          <w:sz w:val="24"/>
        </w:rPr>
        <w:t>资产、</w:t>
      </w:r>
      <w:r>
        <w:rPr>
          <w:rFonts w:hint="eastAsia" w:ascii="仿宋" w:hAnsi="仿宋" w:eastAsia="仿宋" w:cs="宋体"/>
          <w:color w:val="000000"/>
          <w:kern w:val="0"/>
          <w:sz w:val="24"/>
        </w:rPr>
        <w:t>权益类资产及资产管理产品，其中所投资的资产管理产品需符合本产品说明书约定的投资范围。</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jc w:val="both"/>
        <w:rPr>
          <w:rFonts w:ascii="仿宋" w:hAnsi="仿宋" w:eastAsia="仿宋" w:cs="宋体"/>
          <w:color w:val="000000"/>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1"/>
        <w:tblW w:w="8063" w:type="dxa"/>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118"/>
        <w:gridCol w:w="2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47" w:hRule="atLeast"/>
          <w:tblCellSpacing w:w="0" w:type="dxa"/>
        </w:trPr>
        <w:tc>
          <w:tcPr>
            <w:tcW w:w="5118" w:type="dxa"/>
            <w:noWrap w:val="0"/>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2945" w:type="dxa"/>
            <w:noWrap w:val="0"/>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47" w:hRule="atLeast"/>
          <w:tblCellSpacing w:w="0" w:type="dxa"/>
        </w:trPr>
        <w:tc>
          <w:tcPr>
            <w:tcW w:w="5118" w:type="dxa"/>
            <w:noWrap w:val="0"/>
            <w:vAlign w:val="center"/>
          </w:tcPr>
          <w:p>
            <w:pPr>
              <w:adjustRightInd w:val="0"/>
              <w:snapToGrid w:val="0"/>
              <w:spacing w:line="240" w:lineRule="auto"/>
              <w:jc w:val="center"/>
              <w:rPr>
                <w:rFonts w:ascii="仿宋" w:hAnsi="仿宋" w:eastAsia="仿宋" w:cs="宋体"/>
                <w:color w:val="000000"/>
                <w:kern w:val="0"/>
                <w:sz w:val="24"/>
              </w:rPr>
            </w:pPr>
            <w:r>
              <w:rPr>
                <w:rFonts w:hint="eastAsia" w:ascii="仿宋" w:hAnsi="仿宋" w:eastAsia="仿宋" w:cs="宋体"/>
                <w:color w:val="000000"/>
                <w:kern w:val="0"/>
                <w:sz w:val="24"/>
              </w:rPr>
              <w:t>固定收益类</w:t>
            </w:r>
          </w:p>
          <w:p>
            <w:pPr>
              <w:adjustRightInd w:val="0"/>
              <w:snapToGrid w:val="0"/>
              <w:spacing w:line="240" w:lineRule="auto"/>
              <w:jc w:val="center"/>
              <w:rPr>
                <w:rFonts w:hint="eastAsia" w:eastAsia="仿宋"/>
                <w:color w:val="000000"/>
                <w:kern w:val="0"/>
                <w:sz w:val="24"/>
              </w:rPr>
            </w:pPr>
            <w:r>
              <w:rPr>
                <w:rFonts w:hint="eastAsia" w:eastAsia="仿宋"/>
                <w:color w:val="000000"/>
                <w:kern w:val="0"/>
                <w:sz w:val="24"/>
              </w:rPr>
              <w:t>（固定收益类资产包括货币市场工具、标准化债权类资产、非标准化债权类资产，单只公募产品投资非标准化债权类资产的比例不超过50%）</w:t>
            </w:r>
          </w:p>
        </w:tc>
        <w:tc>
          <w:tcPr>
            <w:tcW w:w="2945" w:type="dxa"/>
            <w:noWrap w:val="0"/>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szCs w:val="20"/>
              </w:rPr>
              <w:t>60%（含）-80%（不含）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11" w:hRule="atLeast"/>
          <w:tblCellSpacing w:w="0" w:type="dxa"/>
        </w:trPr>
        <w:tc>
          <w:tcPr>
            <w:tcW w:w="5118" w:type="dxa"/>
            <w:noWrap w:val="0"/>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权益类</w:t>
            </w:r>
          </w:p>
        </w:tc>
        <w:tc>
          <w:tcPr>
            <w:tcW w:w="2945" w:type="dxa"/>
            <w:noWrap w:val="0"/>
            <w:vAlign w:val="center"/>
          </w:tcPr>
          <w:p>
            <w:pPr>
              <w:adjustRightInd w:val="0"/>
              <w:snapToGrid w:val="0"/>
              <w:spacing w:line="240" w:lineRule="auto"/>
              <w:jc w:val="center"/>
              <w:rPr>
                <w:rFonts w:eastAsia="仿宋"/>
                <w:color w:val="000000"/>
                <w:kern w:val="0"/>
                <w:sz w:val="24"/>
              </w:rPr>
            </w:pPr>
            <w:r>
              <w:rPr>
                <w:rFonts w:hint="eastAsia" w:ascii="仿宋" w:hAnsi="仿宋" w:eastAsia="仿宋" w:cs="宋体"/>
                <w:color w:val="000000"/>
                <w:kern w:val="0"/>
                <w:sz w:val="24"/>
              </w:rPr>
              <w:t>0%-40%</w:t>
            </w:r>
            <w:r>
              <w:rPr>
                <w:rFonts w:hint="eastAsia" w:ascii="仿宋" w:hAnsi="仿宋" w:eastAsia="仿宋" w:cs="宋体"/>
                <w:color w:val="000000"/>
                <w:kern w:val="0"/>
                <w:sz w:val="24"/>
                <w:szCs w:val="20"/>
              </w:rPr>
              <w:t>（不含）</w:t>
            </w:r>
          </w:p>
        </w:tc>
      </w:tr>
    </w:tbl>
    <w:p>
      <w:pPr>
        <w:widowControl/>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本理财产品可以按照监管部门相关规定开展回购业务。</w:t>
      </w:r>
    </w:p>
    <w:p>
      <w:pPr>
        <w:widowControl/>
        <w:adjustRightInd w:val="0"/>
        <w:snapToGrid w:val="0"/>
        <w:spacing w:line="276" w:lineRule="auto"/>
        <w:ind w:firstLine="480" w:firstLineChars="200"/>
        <w:contextualSpacing/>
        <w:rPr>
          <w:rFonts w:ascii="仿宋" w:hAnsi="仿宋" w:eastAsia="仿宋" w:cs="宋体"/>
          <w:kern w:val="0"/>
          <w:sz w:val="24"/>
        </w:rPr>
      </w:pP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合作机构：</w:t>
      </w:r>
      <w:r>
        <w:rPr>
          <w:rFonts w:hint="eastAsia" w:ascii="仿宋" w:hAnsi="仿宋" w:eastAsia="仿宋" w:cs="宋体"/>
          <w:kern w:val="0"/>
          <w:sz w:val="24"/>
        </w:rPr>
        <w:t>本理财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p>
    <w:p>
      <w:pPr>
        <w:widowControl/>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bCs/>
          <w:color w:val="000000"/>
          <w:kern w:val="0"/>
          <w:sz w:val="24"/>
        </w:rPr>
        <w:t>如资产类别及投资比例发生调整，管理人将于调整事项生效前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个工作日通过本产品说明书约定的信息披露渠道予以公告</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非因管理人主观因素导致本理财产品突破上述投资比例限制的，管理人应当在所投资的</w:t>
      </w:r>
      <w:r>
        <w:rPr>
          <w:rFonts w:hint="eastAsia" w:ascii="仿宋" w:hAnsi="仿宋" w:eastAsia="仿宋"/>
          <w:sz w:val="24"/>
        </w:rPr>
        <w:t>流动性受限资产可出售、可转让或者恢复交易的15</w:t>
      </w:r>
      <w:r>
        <w:rPr>
          <w:rFonts w:hint="eastAsia" w:ascii="仿宋" w:hAnsi="仿宋" w:eastAsia="仿宋" w:cs="宋体"/>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含协议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三、理财产品管理人和托管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（一）本理财产品管理人为华夏理财有限责任公司。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（二）</w:t>
      </w: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1.基本信息</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eastAsia="黑体"/>
          <w:b/>
        </w:rPr>
      </w:pPr>
      <w:r>
        <w:rPr>
          <w:rFonts w:hint="eastAsia" w:ascii="仿宋" w:hAnsi="仿宋" w:eastAsia="仿宋" w:cs="宋体"/>
          <w:color w:val="000000"/>
          <w:kern w:val="0"/>
          <w:sz w:val="24"/>
        </w:rPr>
        <w:t>(9)银行业监督管理机构规定的其他职责。</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eastAsia="黑体"/>
          <w:b/>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（一）认购、申购、赎回交易渠道和规定</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通过华夏理财购买的，</w:t>
      </w:r>
      <w:r>
        <w:rPr>
          <w:rFonts w:ascii="仿宋" w:hAnsi="仿宋" w:eastAsia="仿宋" w:cs="宋体"/>
          <w:kern w:val="0"/>
          <w:sz w:val="24"/>
        </w:rPr>
        <w:t>投资者可通过</w:t>
      </w:r>
      <w:r>
        <w:rPr>
          <w:rFonts w:hint="eastAsia" w:ascii="仿宋" w:hAnsi="仿宋" w:eastAsia="仿宋" w:cs="宋体"/>
          <w:kern w:val="0"/>
          <w:sz w:val="24"/>
        </w:rPr>
        <w:t>华夏理财直销</w:t>
      </w:r>
      <w:r>
        <w:rPr>
          <w:rFonts w:ascii="仿宋" w:hAnsi="仿宋" w:eastAsia="仿宋" w:cs="宋体"/>
          <w:kern w:val="0"/>
          <w:sz w:val="24"/>
        </w:rPr>
        <w:t>柜台</w:t>
      </w:r>
      <w:r>
        <w:rPr>
          <w:rFonts w:hint="eastAsia" w:ascii="仿宋" w:hAnsi="仿宋" w:eastAsia="仿宋" w:cs="宋体"/>
          <w:kern w:val="0"/>
          <w:sz w:val="24"/>
        </w:rPr>
        <w:t>及电子渠道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；通过华夏银行购买的，</w:t>
      </w:r>
      <w:r>
        <w:rPr>
          <w:rFonts w:ascii="仿宋" w:hAnsi="仿宋" w:eastAsia="仿宋" w:cs="宋体"/>
          <w:kern w:val="0"/>
          <w:sz w:val="24"/>
        </w:rPr>
        <w:t>投资者可通过</w:t>
      </w:r>
      <w:r>
        <w:rPr>
          <w:rFonts w:hint="eastAsia" w:ascii="仿宋" w:hAnsi="仿宋" w:eastAsia="仿宋" w:cs="宋体"/>
          <w:kern w:val="0"/>
          <w:sz w:val="24"/>
        </w:rPr>
        <w:t>华夏银行</w:t>
      </w:r>
      <w:r>
        <w:rPr>
          <w:rFonts w:hint="eastAsia" w:ascii="仿宋" w:hAnsi="仿宋" w:eastAsia="仿宋"/>
          <w:sz w:val="24"/>
        </w:rPr>
        <w:t>柜台、手机银行、网上银行、微信银行等渠道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；通过代销机构购买的，认购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hint="eastAsia" w:ascii="仿宋" w:hAnsi="仿宋" w:eastAsia="仿宋" w:cs="宋体"/>
          <w:kern w:val="0"/>
          <w:sz w:val="24"/>
        </w:rPr>
        <w:t>渠道以代销机构规定为准</w:t>
      </w:r>
      <w:r>
        <w:rPr>
          <w:rFonts w:ascii="仿宋" w:hAnsi="仿宋" w:eastAsia="仿宋" w:cs="宋体"/>
          <w:kern w:val="0"/>
          <w:sz w:val="24"/>
        </w:rPr>
        <w:t>。</w:t>
      </w:r>
    </w:p>
    <w:p>
      <w:pPr>
        <w:widowControl/>
        <w:adjustRightInd w:val="0"/>
        <w:snapToGrid w:val="0"/>
        <w:spacing w:line="276" w:lineRule="auto"/>
        <w:ind w:firstLine="482" w:firstLineChars="200"/>
        <w:contextualSpacing/>
        <w:rPr>
          <w:rFonts w:ascii="仿宋" w:hAnsi="仿宋" w:eastAsia="仿宋" w:cs="宋体"/>
          <w:kern w:val="0"/>
          <w:sz w:val="24"/>
        </w:rPr>
      </w:pPr>
      <w:r>
        <w:rPr>
          <w:rFonts w:ascii="仿宋" w:hAnsi="仿宋" w:eastAsia="仿宋" w:cs="宋体"/>
          <w:b/>
          <w:bCs/>
          <w:color w:val="000000"/>
          <w:kern w:val="0"/>
          <w:sz w:val="24"/>
        </w:rPr>
        <w:t>2</w:t>
      </w:r>
      <w:r>
        <w:rPr>
          <w:rFonts w:hint="eastAsia" w:ascii="仿宋" w:hAnsi="仿宋" w:eastAsia="仿宋" w:cs="宋体"/>
          <w:b/>
          <w:bCs/>
          <w:color w:val="000000"/>
          <w:kern w:val="0"/>
          <w:sz w:val="24"/>
        </w:rPr>
        <w:t>．</w:t>
      </w:r>
      <w:r>
        <w:rPr>
          <w:rFonts w:hint="eastAsia" w:ascii="仿宋" w:hAnsi="仿宋" w:eastAsia="仿宋" w:cs="宋体"/>
          <w:b/>
          <w:bCs/>
          <w:kern w:val="0"/>
          <w:sz w:val="24"/>
        </w:rPr>
        <w:t>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产品单一投资者持有</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份额数不得超过</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份额总数的 50%。非因</w:t>
      </w:r>
      <w:r>
        <w:rPr>
          <w:rFonts w:ascii="仿宋" w:hAnsi="仿宋" w:eastAsia="仿宋" w:cs="宋体"/>
          <w:b/>
          <w:bCs/>
          <w:kern w:val="0"/>
          <w:sz w:val="24"/>
        </w:rPr>
        <w:t>管理人</w:t>
      </w:r>
      <w:r>
        <w:rPr>
          <w:rFonts w:hint="eastAsia" w:ascii="仿宋" w:hAnsi="仿宋" w:eastAsia="仿宋" w:cs="宋体"/>
          <w:b/>
          <w:bCs/>
          <w:kern w:val="0"/>
          <w:sz w:val="24"/>
        </w:rPr>
        <w:t>主观因素导致突破前款规定比例限制的，在单一投资者持有比例降至50%以下之前，</w:t>
      </w:r>
      <w:r>
        <w:rPr>
          <w:rFonts w:ascii="仿宋" w:hAnsi="仿宋" w:eastAsia="仿宋" w:cs="宋体"/>
          <w:b/>
          <w:bCs/>
          <w:kern w:val="0"/>
          <w:sz w:val="24"/>
        </w:rPr>
        <w:t>管理人将</w:t>
      </w:r>
      <w:r>
        <w:rPr>
          <w:rFonts w:hint="eastAsia" w:ascii="仿宋" w:hAnsi="仿宋" w:eastAsia="仿宋" w:cs="宋体"/>
          <w:b/>
          <w:bCs/>
          <w:kern w:val="0"/>
          <w:sz w:val="24"/>
        </w:rPr>
        <w:t>不再接受该单一投资者对本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产品的认、</w:t>
      </w:r>
      <w:r>
        <w:rPr>
          <w:rFonts w:ascii="仿宋" w:hAnsi="仿宋" w:eastAsia="仿宋" w:cs="宋体"/>
          <w:b/>
          <w:bCs/>
          <w:kern w:val="0"/>
          <w:sz w:val="24"/>
        </w:rPr>
        <w:t>申</w:t>
      </w:r>
      <w:r>
        <w:rPr>
          <w:rFonts w:hint="eastAsia" w:ascii="仿宋" w:hAnsi="仿宋" w:eastAsia="仿宋" w:cs="宋体"/>
          <w:b/>
          <w:bCs/>
          <w:kern w:val="0"/>
          <w:sz w:val="24"/>
        </w:rPr>
        <w:t>购申请。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法律法规、监管部门另有规定的，从其规定。</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（二）拒绝或暂停</w:t>
      </w:r>
      <w:r>
        <w:rPr>
          <w:rFonts w:hint="eastAsia" w:ascii="仿宋" w:hAnsi="仿宋" w:eastAsia="仿宋" w:cs="宋体"/>
          <w:color w:val="000000"/>
          <w:kern w:val="0"/>
          <w:sz w:val="24"/>
        </w:rPr>
        <w:t>认（申）</w:t>
      </w:r>
      <w:r>
        <w:rPr>
          <w:rFonts w:hint="eastAsia" w:ascii="仿宋" w:hAnsi="仿宋" w:eastAsia="仿宋" w:cs="宋体"/>
          <w:kern w:val="0"/>
          <w:sz w:val="24"/>
        </w:rPr>
        <w:t>购的情形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发生下列情况之一时，</w:t>
      </w:r>
      <w:r>
        <w:rPr>
          <w:rFonts w:ascii="仿宋" w:hAnsi="仿宋" w:eastAsia="仿宋" w:cs="宋体"/>
          <w:b/>
          <w:bCs/>
          <w:kern w:val="0"/>
          <w:sz w:val="24"/>
        </w:rPr>
        <w:t>管理人</w:t>
      </w:r>
      <w:r>
        <w:rPr>
          <w:rFonts w:hint="eastAsia" w:ascii="仿宋" w:hAnsi="仿宋" w:eastAsia="仿宋" w:cs="宋体"/>
          <w:b/>
          <w:bCs/>
          <w:kern w:val="0"/>
          <w:sz w:val="24"/>
        </w:rPr>
        <w:t>可以</w:t>
      </w:r>
      <w:r>
        <w:rPr>
          <w:rFonts w:hint="eastAsia" w:ascii="仿宋" w:hAnsi="仿宋" w:eastAsia="仿宋" w:cs="宋体"/>
          <w:b/>
          <w:bCs/>
          <w:color w:val="000000"/>
          <w:kern w:val="0"/>
          <w:sz w:val="24"/>
        </w:rPr>
        <w:t>采取认（申）购风险应对措施，</w:t>
      </w:r>
      <w:r>
        <w:rPr>
          <w:rFonts w:hint="eastAsia" w:ascii="仿宋" w:hAnsi="仿宋" w:eastAsia="仿宋" w:cs="宋体"/>
          <w:b/>
          <w:bCs/>
          <w:kern w:val="0"/>
          <w:sz w:val="24"/>
        </w:rPr>
        <w:t>拒绝或暂停接受</w:t>
      </w:r>
      <w:r>
        <w:rPr>
          <w:rFonts w:hint="eastAsia" w:ascii="仿宋" w:hAnsi="仿宋" w:eastAsia="仿宋" w:cs="宋体"/>
          <w:b/>
          <w:bCs/>
          <w:color w:val="000000"/>
          <w:kern w:val="0"/>
          <w:sz w:val="24"/>
        </w:rPr>
        <w:t>认（申）</w:t>
      </w:r>
      <w:r>
        <w:rPr>
          <w:rFonts w:hint="eastAsia" w:ascii="仿宋" w:hAnsi="仿宋" w:eastAsia="仿宋" w:cs="宋体"/>
          <w:b/>
          <w:bCs/>
          <w:kern w:val="0"/>
          <w:sz w:val="24"/>
        </w:rPr>
        <w:t>购申请</w:t>
      </w:r>
      <w:r>
        <w:rPr>
          <w:rFonts w:hint="eastAsia" w:ascii="仿宋" w:hAnsi="仿宋" w:eastAsia="仿宋" w:cs="宋体"/>
          <w:b/>
          <w:bCs/>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1．因不可抗力导致理财</w:t>
      </w:r>
      <w:r>
        <w:rPr>
          <w:rFonts w:ascii="仿宋" w:hAnsi="仿宋" w:eastAsia="仿宋" w:cs="宋体"/>
          <w:color w:val="000000"/>
          <w:kern w:val="0"/>
          <w:sz w:val="24"/>
        </w:rPr>
        <w:t>产品</w:t>
      </w:r>
      <w:r>
        <w:rPr>
          <w:rFonts w:hint="eastAsia" w:ascii="仿宋" w:hAnsi="仿宋" w:eastAsia="仿宋" w:cs="宋体"/>
          <w:color w:val="000000"/>
          <w:kern w:val="0"/>
          <w:sz w:val="24"/>
        </w:rPr>
        <w:t>无法正常运作。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3．接受认（申）购申请可能对存量投资者利益构成重大不利影响。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4．认购/申购日理财产品实时余额已达到规模上限。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5．基于理财产品投资运作与风险控制需要。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6.认（申）购申请超过说明书约定的单一投资者认（申）购金额上限、或超过理财产品单日净认（申）购比例上限。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7.接受认（申）购申请有可能导致单一投资者持有份额的比例超过产品</w:t>
      </w:r>
      <w:r>
        <w:rPr>
          <w:rFonts w:hint="eastAsia" w:ascii="仿宋" w:hAnsi="仿宋" w:eastAsia="仿宋" w:cs="宋体"/>
          <w:kern w:val="0"/>
          <w:sz w:val="24"/>
        </w:rPr>
        <w:t>份额总数的</w:t>
      </w:r>
      <w:r>
        <w:rPr>
          <w:rFonts w:hint="eastAsia" w:ascii="仿宋" w:hAnsi="仿宋" w:eastAsia="仿宋" w:cs="宋体"/>
          <w:color w:val="000000"/>
          <w:kern w:val="0"/>
          <w:sz w:val="24"/>
        </w:rPr>
        <w:t>50%，或者出现变相规避50%集中度限制的情形。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8</w:t>
      </w:r>
      <w:r>
        <w:rPr>
          <w:rFonts w:hint="eastAsia" w:ascii="仿宋" w:hAnsi="仿宋" w:eastAsia="仿宋" w:cs="宋体"/>
          <w:color w:val="000000"/>
          <w:kern w:val="0"/>
          <w:sz w:val="24"/>
        </w:rPr>
        <w:t>.法律法规规定或监管</w:t>
      </w:r>
      <w:r>
        <w:rPr>
          <w:rFonts w:ascii="仿宋" w:hAnsi="仿宋" w:eastAsia="仿宋" w:cs="宋体"/>
          <w:color w:val="000000"/>
          <w:kern w:val="0"/>
          <w:sz w:val="24"/>
        </w:rPr>
        <w:t>机构</w:t>
      </w:r>
      <w:r>
        <w:rPr>
          <w:rFonts w:hint="eastAsia" w:ascii="仿宋" w:hAnsi="仿宋" w:eastAsia="仿宋" w:cs="宋体"/>
          <w:color w:val="000000"/>
          <w:kern w:val="0"/>
          <w:sz w:val="24"/>
        </w:rPr>
        <w:t>认定的其他情形。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如果投资人的认（申）购申请被全部或部分拒绝的，被拒绝的认（申）购款项将退还给投资人。在暂停认（申）购的情况消除时，</w:t>
      </w:r>
      <w:r>
        <w:rPr>
          <w:rFonts w:ascii="仿宋" w:hAnsi="仿宋" w:eastAsia="仿宋" w:cs="宋体"/>
          <w:kern w:val="0"/>
          <w:sz w:val="24"/>
        </w:rPr>
        <w:t>管理人</w:t>
      </w:r>
      <w:r>
        <w:rPr>
          <w:rFonts w:hint="eastAsia" w:ascii="仿宋" w:hAnsi="仿宋" w:eastAsia="仿宋" w:cs="宋体"/>
          <w:color w:val="000000"/>
          <w:kern w:val="0"/>
          <w:sz w:val="24"/>
        </w:rPr>
        <w:t>将及时恢复办理业务。</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（三）暂停赎回或延缓支付赎回款项的情形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在发生下列情形之一时，</w:t>
      </w:r>
      <w:r>
        <w:rPr>
          <w:rFonts w:ascii="仿宋" w:hAnsi="仿宋" w:eastAsia="仿宋" w:cs="宋体"/>
          <w:b/>
          <w:bCs/>
          <w:kern w:val="0"/>
          <w:sz w:val="24"/>
        </w:rPr>
        <w:t>管理人</w:t>
      </w:r>
      <w:r>
        <w:rPr>
          <w:rFonts w:hint="eastAsia" w:ascii="仿宋" w:hAnsi="仿宋" w:eastAsia="仿宋" w:cs="宋体"/>
          <w:b/>
          <w:bCs/>
          <w:kern w:val="0"/>
          <w:sz w:val="24"/>
        </w:rPr>
        <w:t>可以采取</w:t>
      </w:r>
      <w:r>
        <w:rPr>
          <w:rFonts w:hint="eastAsia" w:ascii="仿宋" w:hAnsi="仿宋" w:eastAsia="仿宋" w:cs="宋体"/>
          <w:b/>
          <w:bCs/>
          <w:color w:val="000000"/>
          <w:kern w:val="0"/>
          <w:sz w:val="24"/>
        </w:rPr>
        <w:t>赎回流动性风险应对措施，包括</w:t>
      </w:r>
      <w:r>
        <w:rPr>
          <w:rFonts w:ascii="仿宋" w:hAnsi="仿宋" w:eastAsia="仿宋" w:cs="宋体"/>
          <w:b/>
          <w:bCs/>
          <w:color w:val="000000"/>
          <w:kern w:val="0"/>
          <w:sz w:val="24"/>
        </w:rPr>
        <w:t>但不限于</w:t>
      </w:r>
      <w:r>
        <w:rPr>
          <w:rFonts w:hint="eastAsia" w:ascii="仿宋" w:hAnsi="仿宋" w:eastAsia="仿宋" w:cs="宋体"/>
          <w:b/>
          <w:bCs/>
          <w:color w:val="000000"/>
          <w:kern w:val="0"/>
          <w:sz w:val="24"/>
        </w:rPr>
        <w:t>延期办理巨额赎回申请、暂停接受赎回申请、延缓支付赎回款项等：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w:t>
      </w:r>
      <w:r>
        <w:rPr>
          <w:rFonts w:ascii="仿宋" w:hAnsi="仿宋" w:eastAsia="仿宋" w:cs="宋体"/>
          <w:kern w:val="0"/>
          <w:sz w:val="24"/>
        </w:rPr>
        <w:t>管理人</w:t>
      </w:r>
      <w:r>
        <w:rPr>
          <w:rFonts w:hint="eastAsia" w:ascii="仿宋" w:hAnsi="仿宋" w:eastAsia="仿宋" w:cs="宋体"/>
          <w:color w:val="000000"/>
          <w:kern w:val="0"/>
          <w:sz w:val="24"/>
        </w:rPr>
        <w:t>不能支付赎回款项。</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.连续2个以上开放日发生巨额赎回。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bCs/>
          <w:color w:val="000000"/>
          <w:sz w:val="24"/>
        </w:rPr>
        <w:t>5.单个投资者在单个开放日的赎回超过说明书约定的赎回</w:t>
      </w:r>
      <w:r>
        <w:rPr>
          <w:rFonts w:ascii="仿宋" w:hAnsi="仿宋" w:eastAsia="仿宋"/>
          <w:bCs/>
          <w:color w:val="000000"/>
          <w:sz w:val="24"/>
        </w:rPr>
        <w:t>上限</w:t>
      </w:r>
      <w:r>
        <w:rPr>
          <w:rFonts w:hint="eastAsia" w:ascii="仿宋" w:hAnsi="仿宋" w:eastAsia="仿宋"/>
          <w:bCs/>
          <w:color w:val="00000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6.继续接受赎回申请可能对存量理财投资者利益构成潜在重大不利影响。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7.法律法规规定或监管机构认定的其他情形。</w:t>
      </w:r>
    </w:p>
    <w:p>
      <w:pPr>
        <w:pStyle w:val="18"/>
        <w:snapToGrid w:val="0"/>
        <w:spacing w:after="156" w:afterLines="50" w:line="400" w:lineRule="exact"/>
        <w:ind w:firstLine="480" w:firstLineChars="200"/>
        <w:jc w:val="both"/>
        <w:rPr>
          <w:rFonts w:ascii="微软简仿宋" w:hAnsi="微软简仿宋" w:eastAsia="仿宋"/>
          <w:bCs/>
          <w:szCs w:val="21"/>
        </w:rPr>
      </w:pPr>
      <w:r>
        <w:rPr>
          <w:rFonts w:hint="eastAsia" w:ascii="仿宋" w:hAnsi="仿宋" w:eastAsia="仿宋"/>
        </w:rPr>
        <w:t>在暂停赎回的情形消除时，</w:t>
      </w:r>
      <w:r>
        <w:rPr>
          <w:rFonts w:ascii="仿宋" w:hAnsi="仿宋" w:eastAsia="仿宋"/>
        </w:rPr>
        <w:t>管理人</w:t>
      </w:r>
      <w:r>
        <w:rPr>
          <w:rFonts w:hint="eastAsia" w:ascii="仿宋" w:hAnsi="仿宋" w:eastAsia="仿宋"/>
        </w:rPr>
        <w:t>将及时恢复办理赎回业务并公告。</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Pr>
          <w:rFonts w:ascii="仿宋" w:hAnsi="仿宋" w:eastAsia="仿宋" w:cs="宋体"/>
          <w:color w:val="000000"/>
          <w:kern w:val="0"/>
          <w:sz w:val="24"/>
        </w:rPr>
        <w:t>7</w:t>
      </w:r>
      <w:r>
        <w:rPr>
          <w:rFonts w:hint="eastAsia" w:ascii="仿宋" w:hAnsi="仿宋" w:eastAsia="仿宋" w:cs="宋体"/>
          <w:color w:val="000000"/>
          <w:kern w:val="0"/>
          <w:sz w:val="24"/>
        </w:rPr>
        <w:t>份</w:t>
      </w:r>
      <w:r>
        <w:rPr>
          <w:rFonts w:hint="eastAsia" w:ascii="仿宋" w:hAnsi="仿宋" w:eastAsia="仿宋"/>
          <w:b/>
          <w:bCs/>
          <w:sz w:val="24"/>
        </w:rPr>
        <w:t>。</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eastAsia="黑体"/>
          <w:b/>
          <w:sz w:val="24"/>
        </w:rPr>
      </w:pPr>
      <w:r>
        <w:rPr>
          <w:rFonts w:hint="eastAsia" w:eastAsia="黑体"/>
          <w:b/>
          <w:sz w:val="24"/>
        </w:rPr>
        <w:t>华夏理财郑重提示：本理财产品是非保本浮动收益净值型理财产品，不保证理财本金和收益。投资者的本金和收益可能会因市场变动等原因而蒙受损失。投资者应充分认识投资风险，谨慎投资。</w:t>
      </w:r>
    </w:p>
    <w:p>
      <w:pPr>
        <w:autoSpaceDE w:val="0"/>
        <w:autoSpaceDN w:val="0"/>
        <w:adjustRightInd w:val="0"/>
        <w:snapToGrid w:val="0"/>
        <w:spacing w:line="276" w:lineRule="auto"/>
        <w:ind w:firstLine="482" w:firstLineChars="200"/>
        <w:contextualSpacing/>
        <w:rPr>
          <w:rFonts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eastAsia="黑体"/>
          <w:b/>
        </w:rPr>
      </w:pPr>
      <w:r>
        <w:rPr>
          <w:rFonts w:hint="eastAsia" w:eastAsia="黑体"/>
          <w:b/>
          <w:color w:val="000000"/>
          <w:sz w:val="24"/>
        </w:rPr>
        <w:t>本产品说明书中的任何业绩比较基准、收益示例或类似表述均不具有法律约束力，不代表投资者可能获得的实际收益，亦不构成华夏理财/代销机构对本理财产品的任何收益承诺。</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（一）估值对象</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本理财产品所投资的银行存款、货币市场工具、债券类资产、</w:t>
      </w:r>
      <w:r>
        <w:rPr>
          <w:rFonts w:hint="eastAsia" w:ascii="仿宋" w:hAnsi="仿宋" w:eastAsia="仿宋" w:cs="仿宋"/>
        </w:rPr>
        <w:t>非标准化债权类资产</w:t>
      </w:r>
      <w:r>
        <w:rPr>
          <w:rFonts w:hint="eastAsia" w:ascii="仿宋" w:hAnsi="仿宋" w:eastAsia="仿宋"/>
        </w:rPr>
        <w:t>以及资产管理产品等资产。</w:t>
      </w:r>
    </w:p>
    <w:p>
      <w:pPr>
        <w:pStyle w:val="18"/>
        <w:snapToGrid w:val="0"/>
        <w:spacing w:line="276" w:lineRule="auto"/>
        <w:ind w:firstLine="480" w:firstLineChars="200"/>
        <w:contextualSpacing/>
        <w:outlineLvl w:val="1"/>
        <w:rPr>
          <w:rFonts w:ascii="仿宋" w:hAnsi="仿宋" w:eastAsia="仿宋"/>
          <w:color w:val="auto"/>
        </w:rPr>
      </w:pPr>
      <w:r>
        <w:rPr>
          <w:rFonts w:hint="eastAsia" w:ascii="仿宋" w:hAnsi="仿宋" w:eastAsia="仿宋"/>
          <w:color w:val="auto"/>
        </w:rPr>
        <w:t>（二）估值原则</w:t>
      </w:r>
    </w:p>
    <w:p>
      <w:pPr>
        <w:pStyle w:val="18"/>
        <w:snapToGrid w:val="0"/>
        <w:spacing w:line="276" w:lineRule="auto"/>
        <w:ind w:firstLine="480" w:firstLineChars="200"/>
        <w:contextualSpacing/>
        <w:rPr>
          <w:rFonts w:ascii="仿宋" w:hAnsi="仿宋" w:eastAsia="仿宋"/>
        </w:rPr>
      </w:pPr>
      <w:r>
        <w:rPr>
          <w:rFonts w:hint="eastAsia" w:ascii="仿宋" w:hAnsi="仿宋" w:eastAsia="仿宋"/>
          <w:color w:val="auto"/>
        </w:rPr>
        <w:t>理财</w:t>
      </w:r>
      <w:r>
        <w:rPr>
          <w:rFonts w:ascii="仿宋" w:hAnsi="仿宋" w:eastAsia="仿宋"/>
          <w:color w:val="auto"/>
        </w:rPr>
        <w:t>产品估值的目的是公允、合理地反映理财产品的价值</w:t>
      </w:r>
      <w:r>
        <w:rPr>
          <w:rFonts w:hint="eastAsia" w:ascii="仿宋" w:hAnsi="仿宋" w:eastAsia="仿宋"/>
          <w:color w:val="auto"/>
        </w:rPr>
        <w:t>。估值</w:t>
      </w:r>
      <w:r>
        <w:rPr>
          <w:rFonts w:ascii="仿宋" w:hAnsi="仿宋" w:eastAsia="仿宋"/>
          <w:color w:val="auto"/>
        </w:rPr>
        <w:t>中坚持公允价值计量原则。金融</w:t>
      </w:r>
      <w:r>
        <w:rPr>
          <w:rFonts w:hint="eastAsia" w:ascii="仿宋" w:hAnsi="仿宋" w:eastAsia="仿宋"/>
          <w:color w:val="auto"/>
        </w:rPr>
        <w:t>资产</w:t>
      </w:r>
      <w:r>
        <w:rPr>
          <w:rFonts w:ascii="仿宋" w:hAnsi="仿宋" w:eastAsia="仿宋"/>
          <w:color w:val="auto"/>
        </w:rPr>
        <w:t>的公允价值确定方法应与理财产品的类型相匹配。</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（三）估值方法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1.证券交易所上市的有价证券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在交易所市场上市的含有转股权的债券（如可转换债券、可交换债券等）等，选取每日收盘价减去所含的应收利息得到的净价进行估值。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2.处于未上市期间的有价证券应区分如下情况处理：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（1）送股、转增股、配股和公开增发的新股，按估值日在证券交易所挂牌的同一股票的市价（收盘价）估值；该日无交易的，以最近一日的市价（收盘价）估值；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（3）优先股采用估值技术确认公允价值，在估值技术难以可靠计量公允价值的情况下，采用管理人和托管人共同认可的第三方机构提供的估值，或双方共同认可的估值；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4.同一债券同时在两个或两个以上市场交易的，按债券所处的市场分别估值。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5.证券投资基金的估值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（1）场外申赎的开放式基金（包括上市开放式基金LOF）以估值日前一交易日基金净值估值，估值日前一交易日开放式基金份额净值未公布的，以此前最近一个交易日基金份额净值计算；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（2）上市流通的证券投资基金（包括场内买入的ETF、封闭式基金、上市定期开放式基金）按估值日其所在证券交易所的收盘价估值；估值日无交易的，以最近一个交易日的收盘价估值；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（3）货币基金按前一估值日后至估值日期间（含节假日）发布的万份收益计提估值日收益。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6.银行存款（活期、定期）及证券资金账户存款以本金列示，按照约定利率在持有期内逐日计提应收利息，在利息到账日以实收利息入账。</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7.债券回购和具有固定回报的买入返售金融资产：以买入/外放成本列示，按约定收益率逐日计提收益。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8.期货以估值日期货交易所的当日结算价估值，估值当日无结算价的，且最近交易日后经济环境未发生重大变化的，采用最近交易日结算价估值。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9.汇率估值方法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10.场内期权以估值日交易所的结算价估值，该日无交易的，以最近一日的结算价为准。</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11.非标准化债权类资产采用估值技术确认公允价值，在估值技术难以可靠计量公允价值的情况下，按照管理人和托管人共同认可的估值。</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12.本系列产品所投资的资产管理产品以估值日公布的产品单位净值进行估值，估值日产品单位净值未公布的，以最近一个工作日产品单位净值计算。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13.相关法律法规以及监管部门有强制规定的，从其规定。如有新增事项或变更事项，依法按最新规定计算。没有相关规定的，由产品管理人与托管人协商确定计算方法。</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18"/>
        <w:snapToGrid w:val="0"/>
        <w:spacing w:line="276" w:lineRule="auto"/>
        <w:ind w:firstLine="482" w:firstLineChars="200"/>
        <w:contextualSpacing/>
        <w:rPr>
          <w:rFonts w:ascii="仿宋" w:hAnsi="仿宋" w:eastAsia="仿宋"/>
        </w:rPr>
      </w:pPr>
      <w:r>
        <w:rPr>
          <w:rFonts w:hint="eastAsia" w:ascii="仿宋" w:hAnsi="仿宋" w:eastAsia="仿宋"/>
          <w:b/>
          <w:bCs/>
        </w:rPr>
        <w:t>以上“理财产品估值”章节所列的投资品种不代表本理财产品的实际投资范围，本产品实际可投资范围以本产品说明书“投资对象”章节列示为准。</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（四）暂停</w:t>
      </w:r>
      <w:r>
        <w:rPr>
          <w:rFonts w:ascii="仿宋" w:hAnsi="仿宋" w:eastAsia="仿宋" w:cs="宋体"/>
          <w:color w:val="000000"/>
          <w:kern w:val="0"/>
          <w:sz w:val="24"/>
        </w:rPr>
        <w:t>估值</w:t>
      </w:r>
    </w:p>
    <w:p>
      <w:pPr>
        <w:pStyle w:val="18"/>
        <w:snapToGrid w:val="0"/>
        <w:spacing w:line="276" w:lineRule="auto"/>
        <w:ind w:firstLine="482"/>
        <w:contextualSpacing/>
        <w:rPr>
          <w:rFonts w:ascii="仿宋" w:hAnsi="仿宋" w:eastAsia="仿宋"/>
          <w:b/>
          <w:bCs/>
        </w:rPr>
      </w:pPr>
      <w:r>
        <w:rPr>
          <w:rFonts w:hint="eastAsia" w:ascii="仿宋" w:hAnsi="仿宋" w:eastAsia="仿宋"/>
          <w:b/>
          <w:bCs/>
        </w:rPr>
        <w:t>在发生下列情形之一的，管理人可以暂停本理财产品估值：</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1.理财产品投资所涉及的市场遇法定节假日或因其他原因暂停营业。</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2.因不可抗力或其他情形致使管理人、托管人无法准确评估资产价值。</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管理人为保障投资者的利益，经与托管人协商一致，理财产品应当暂停估值。</w:t>
      </w:r>
    </w:p>
    <w:p>
      <w:pPr>
        <w:pStyle w:val="18"/>
        <w:snapToGrid w:val="0"/>
        <w:spacing w:line="276" w:lineRule="auto"/>
        <w:ind w:firstLine="480" w:firstLineChars="200"/>
        <w:contextualSpacing/>
        <w:rPr>
          <w:rFonts w:ascii="仿宋" w:hAnsi="仿宋" w:eastAsia="仿宋"/>
        </w:rPr>
      </w:pPr>
      <w:r>
        <w:rPr>
          <w:rFonts w:hint="eastAsia" w:ascii="仿宋" w:hAnsi="仿宋" w:eastAsia="仿宋"/>
        </w:rPr>
        <w:t>4.监管机构认定或管理人、托管人有合理理由认为将影响本理财产品估值的其它情形。</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（五）</w:t>
      </w:r>
      <w:r>
        <w:rPr>
          <w:rFonts w:ascii="仿宋" w:hAnsi="仿宋" w:eastAsia="仿宋" w:cs="宋体"/>
          <w:color w:val="000000"/>
          <w:kern w:val="0"/>
          <w:sz w:val="24"/>
        </w:rPr>
        <w:t>估值</w:t>
      </w:r>
      <w:r>
        <w:rPr>
          <w:rFonts w:hint="eastAsia" w:ascii="仿宋" w:hAnsi="仿宋" w:eastAsia="仿宋" w:cs="宋体"/>
          <w:color w:val="000000"/>
          <w:kern w:val="0"/>
          <w:sz w:val="24"/>
        </w:rPr>
        <w:t>错误的</w:t>
      </w:r>
      <w:r>
        <w:rPr>
          <w:rFonts w:ascii="仿宋" w:hAnsi="仿宋" w:eastAsia="仿宋" w:cs="宋体"/>
          <w:color w:val="000000"/>
          <w:kern w:val="0"/>
          <w:sz w:val="24"/>
        </w:rPr>
        <w:t>处理</w:t>
      </w:r>
    </w:p>
    <w:p>
      <w:pPr>
        <w:pStyle w:val="18"/>
        <w:snapToGrid w:val="0"/>
        <w:spacing w:line="276" w:lineRule="auto"/>
        <w:ind w:firstLine="480" w:firstLineChars="200"/>
        <w:contextualSpacing/>
        <w:rPr>
          <w:rFonts w:ascii="Times New Roman" w:eastAsia="黑体" w:cs="Times New Roman"/>
          <w:b/>
          <w:color w:val="auto"/>
        </w:rPr>
      </w:pPr>
      <w:r>
        <w:rPr>
          <w:rFonts w:hint="eastAsia" w:ascii="仿宋" w:hAnsi="仿宋" w:eastAsia="仿宋" w:cs="仿宋"/>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hint="eastAsia" w:ascii="仿宋" w:hAnsi="仿宋" w:eastAsia="仿宋" w:cs="仿宋"/>
          <w:b/>
        </w:rPr>
        <w:t>当估值出现错误时，因估值错误而获得不当得利的投资者负有及时返还不当得利的义务。</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18"/>
        <w:snapToGrid w:val="0"/>
        <w:spacing w:line="276" w:lineRule="auto"/>
        <w:ind w:firstLine="480" w:firstLineChars="200"/>
        <w:contextualSpacing/>
        <w:jc w:val="both"/>
        <w:rPr>
          <w:rFonts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18"/>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管理人</w:t>
      </w:r>
      <w:r>
        <w:rPr>
          <w:rFonts w:eastAsia="黑体"/>
          <w:b/>
        </w:rPr>
        <w:t>不受理</w:t>
      </w:r>
      <w:r>
        <w:rPr>
          <w:rFonts w:hint="eastAsia" w:eastAsia="黑体"/>
          <w:b/>
        </w:rPr>
        <w:t>投资者</w:t>
      </w:r>
      <w:r>
        <w:rPr>
          <w:rFonts w:eastAsia="黑体"/>
          <w:b/>
        </w:rPr>
        <w:t>任何形式的提前赎回申请。以上情形均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代销机构对本理财产品的任何收益承诺。</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18"/>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18"/>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（十）延期风险：对于有确定到期日的理财产品，</w:t>
      </w:r>
      <w:r>
        <w:rPr>
          <w:rFonts w:eastAsia="黑体"/>
          <w:b/>
        </w:rPr>
        <w:t>如因与</w:t>
      </w:r>
      <w:r>
        <w:rPr>
          <w:rFonts w:hint="eastAsia" w:eastAsia="黑体"/>
          <w:b/>
        </w:rPr>
        <w:t>理财</w:t>
      </w:r>
      <w:r>
        <w:rPr>
          <w:rFonts w:eastAsia="黑体"/>
          <w:b/>
        </w:rPr>
        <w:t>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付理财</w:t>
      </w:r>
      <w:r>
        <w:rPr>
          <w:rFonts w:eastAsia="黑体"/>
          <w:b/>
        </w:rPr>
        <w:t>本金及收益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18"/>
        <w:snapToGrid w:val="0"/>
        <w:spacing w:line="276" w:lineRule="auto"/>
        <w:ind w:firstLine="482"/>
        <w:contextualSpacing/>
        <w:rPr>
          <w:rFonts w:ascii="Times New Roman" w:eastAsia="黑体" w:cs="Times New Roman"/>
          <w:b/>
          <w:color w:val="auto"/>
        </w:rPr>
      </w:pPr>
      <w:r>
        <w:rPr>
          <w:rFonts w:hint="eastAsia" w:ascii="Times New Roman" w:eastAsia="黑体" w:cs="Times New Roman"/>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（十三）拟投资市场及资产的流动性风险评估</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pStyle w:val="18"/>
        <w:snapToGrid w:val="0"/>
        <w:spacing w:line="276" w:lineRule="auto"/>
        <w:ind w:firstLine="482" w:firstLineChars="200"/>
        <w:contextualSpacing/>
        <w:rPr>
          <w:rFonts w:ascii="仿宋" w:hAnsi="仿宋" w:eastAsia="仿宋"/>
          <w:bCs/>
          <w:szCs w:val="21"/>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（十四）流动性应对措施及对投资者的潜在影响</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1．认（申）购风险应对措施及对投资者的潜在影响</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当管理人采用认（申）购风险应对措施时，可能对投资者造成一定的潜在影响，包括但不限于不能认（申）购本理财产品、认（申）购交易全部或部分确认失败等。</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2．赎回风险应对措施及对投资者的潜在影响</w:t>
      </w:r>
    </w:p>
    <w:p>
      <w:pPr>
        <w:pStyle w:val="18"/>
        <w:snapToGrid w:val="0"/>
        <w:spacing w:line="276" w:lineRule="auto"/>
        <w:ind w:firstLine="482" w:firstLineChars="200"/>
        <w:contextualSpacing/>
        <w:rPr>
          <w:rFonts w:ascii="Times New Roman" w:eastAsia="黑体" w:cs="Times New Roman"/>
          <w:b/>
        </w:rPr>
      </w:pPr>
      <w:r>
        <w:rPr>
          <w:rFonts w:hint="eastAsia" w:ascii="Times New Roman" w:eastAsia="黑体" w:cs="Times New Roman"/>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pPr>
        <w:pStyle w:val="18"/>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当管理人实施赎回流动性风险应对措施时，可能对投资者造成一定的潜在影响，包括但不限于赎回交易全部或部分确认失败、赎回款项延迟到账、增加申赎成本或产生赎回费用等。</w:t>
      </w:r>
    </w:p>
    <w:p>
      <w:pPr>
        <w:pStyle w:val="18"/>
        <w:snapToGrid w:val="0"/>
        <w:spacing w:line="276" w:lineRule="auto"/>
        <w:ind w:firstLine="482" w:firstLineChars="200"/>
        <w:contextualSpacing/>
        <w:jc w:val="both"/>
        <w:rPr>
          <w:rFonts w:ascii="Times New Roman" w:eastAsia="黑体" w:cs="Times New Roman"/>
          <w:b/>
          <w:color w:val="auto"/>
        </w:rPr>
      </w:pPr>
      <w:r>
        <w:rPr>
          <w:rFonts w:hint="eastAsia" w:ascii="Times New Roman" w:eastAsia="黑体" w:cs="Times New Roman"/>
          <w:b/>
        </w:rPr>
        <w:t>（十五）其他风险：由于自然灾害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导致理财产品所投资资产收益降低或损失，甚至影响理财产品的受理、投资、偿还等的正常进行，进而影响理财产品的投资收益和本金安全。</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w:t>
      </w:r>
      <w:r>
        <w:rPr>
          <w:rFonts w:hint="eastAsia" w:ascii="仿宋" w:hAnsi="仿宋" w:eastAsia="仿宋" w:cs="宋体"/>
          <w:color w:val="000000"/>
          <w:kern w:val="0"/>
          <w:sz w:val="24"/>
        </w:rPr>
        <w:t>理财</w:t>
      </w:r>
      <w:r>
        <w:rPr>
          <w:rFonts w:ascii="仿宋" w:hAnsi="仿宋" w:eastAsia="仿宋" w:cs="宋体"/>
          <w:color w:val="000000"/>
          <w:kern w:val="0"/>
          <w:sz w:val="24"/>
        </w:rPr>
        <w:t>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。在理财产品季度、半年和年度报告中披露理财产品组合资产情况及其流动性风险分析。</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通过本产品说明书约定的信息披露渠道发布相关公告</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．本理财产品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“份额净值公告日”</w:t>
      </w:r>
      <w:r>
        <w:rPr>
          <w:rFonts w:ascii="仿宋" w:hAnsi="仿宋" w:eastAsia="仿宋" w:cs="宋体"/>
          <w:kern w:val="0"/>
          <w:sz w:val="24"/>
        </w:rPr>
        <w:t>约定披露产品净值</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根据监管规定及业务需要，管理人可进行临时信息披露，涉及事项包括但不限于：管理人、托管人发生变更，理财产品投资非标准化债权类资产或信贷资产受（收）益权，</w:t>
      </w:r>
      <w:r>
        <w:rPr>
          <w:rFonts w:ascii="仿宋" w:hAnsi="仿宋" w:eastAsia="仿宋" w:cs="宋体"/>
          <w:kern w:val="0"/>
          <w:sz w:val="24"/>
        </w:rPr>
        <w:t>调整</w:t>
      </w:r>
      <w:r>
        <w:rPr>
          <w:rFonts w:hint="eastAsia" w:ascii="仿宋" w:hAnsi="仿宋" w:eastAsia="仿宋" w:cs="宋体"/>
          <w:kern w:val="0"/>
          <w:sz w:val="24"/>
        </w:rPr>
        <w:t>业绩比较基准以及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日内通过本产品说明书约定的信息披露渠道予以披露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管理人</w:t>
      </w:r>
      <w:r>
        <w:rPr>
          <w:rFonts w:hint="eastAsia" w:ascii="仿宋" w:hAnsi="仿宋" w:eastAsia="仿宋" w:cs="宋体"/>
          <w:kern w:val="0"/>
          <w:sz w:val="24"/>
        </w:rPr>
        <w:t>有权调整管理费（含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收费项目、条件、标准和方式，并</w:t>
      </w:r>
      <w:r>
        <w:rPr>
          <w:rFonts w:ascii="仿宋" w:hAnsi="仿宋" w:eastAsia="仿宋" w:cs="宋体"/>
          <w:color w:val="000000"/>
          <w:kern w:val="0"/>
          <w:sz w:val="24"/>
        </w:rPr>
        <w:t>将于</w:t>
      </w:r>
      <w:r>
        <w:rPr>
          <w:rFonts w:hint="eastAsia" w:ascii="仿宋" w:hAnsi="仿宋" w:eastAsia="仿宋" w:cs="宋体"/>
          <w:color w:val="000000"/>
          <w:kern w:val="0"/>
          <w:sz w:val="24"/>
        </w:rPr>
        <w:t>上述调整生效</w:t>
      </w:r>
      <w:r>
        <w:rPr>
          <w:rFonts w:ascii="仿宋" w:hAnsi="仿宋" w:eastAsia="仿宋" w:cs="宋体"/>
          <w:color w:val="000000"/>
          <w:kern w:val="0"/>
          <w:sz w:val="24"/>
        </w:rPr>
        <w:t>日的前3个工作日</w:t>
      </w:r>
      <w:r>
        <w:rPr>
          <w:rFonts w:hint="eastAsia" w:ascii="仿宋" w:hAnsi="仿宋" w:eastAsia="仿宋" w:cs="宋体"/>
          <w:kern w:val="0"/>
          <w:sz w:val="24"/>
        </w:rPr>
        <w:t>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提前赎回本理财产品。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w:t>
      </w:r>
      <w:r>
        <w:rPr>
          <w:rFonts w:ascii="仿宋" w:hAnsi="仿宋" w:eastAsia="仿宋" w:cs="宋体"/>
          <w:kern w:val="0"/>
          <w:sz w:val="24"/>
        </w:rPr>
        <w:t>管理人</w:t>
      </w:r>
      <w:r>
        <w:rPr>
          <w:rFonts w:hint="eastAsia" w:ascii="仿宋" w:hAnsi="仿宋" w:eastAsia="仿宋" w:cs="宋体"/>
          <w:kern w:val="0"/>
          <w:sz w:val="24"/>
        </w:rPr>
        <w:t>有权根据市场情况调整本理财产品</w:t>
      </w:r>
      <w:r>
        <w:rPr>
          <w:rFonts w:ascii="仿宋" w:hAnsi="仿宋" w:eastAsia="仿宋" w:cs="宋体"/>
          <w:kern w:val="0"/>
          <w:sz w:val="24"/>
        </w:rPr>
        <w:t>的</w:t>
      </w:r>
      <w:r>
        <w:rPr>
          <w:rFonts w:hint="eastAsia" w:ascii="仿宋" w:hAnsi="仿宋" w:eastAsia="仿宋" w:cs="宋体"/>
          <w:kern w:val="0"/>
          <w:sz w:val="24"/>
        </w:rPr>
        <w:t>投资范围、投资资产种类或投资比例，并通过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仿宋"/>
          <w:b/>
          <w:kern w:val="0"/>
          <w:sz w:val="24"/>
        </w:rPr>
      </w:pPr>
      <w:r>
        <w:rPr>
          <w:rFonts w:ascii="仿宋" w:hAnsi="仿宋" w:eastAsia="仿宋" w:cs="宋体"/>
          <w:kern w:val="0"/>
          <w:sz w:val="24"/>
        </w:rPr>
        <w:t>5</w:t>
      </w:r>
      <w:r>
        <w:rPr>
          <w:rFonts w:hint="eastAsia" w:ascii="仿宋" w:hAnsi="仿宋" w:eastAsia="仿宋" w:cs="宋体"/>
          <w:kern w:val="0"/>
          <w:sz w:val="24"/>
        </w:rPr>
        <w:t>.</w:t>
      </w:r>
      <w:r>
        <w:rPr>
          <w:rFonts w:hint="eastAsia" w:ascii="仿宋" w:hAnsi="仿宋" w:eastAsia="仿宋" w:cs="仿宋"/>
          <w:kern w:val="0"/>
          <w:sz w:val="24"/>
        </w:rPr>
        <w:t>在发生涉及理财产品认（申）购、赎回事项调整或潜在影响投资者赎回等事项时，</w:t>
      </w:r>
      <w:r>
        <w:rPr>
          <w:rFonts w:ascii="仿宋" w:hAnsi="仿宋" w:eastAsia="仿宋" w:cs="宋体"/>
          <w:kern w:val="0"/>
          <w:sz w:val="24"/>
        </w:rPr>
        <w:t>管理人</w:t>
      </w:r>
      <w:r>
        <w:rPr>
          <w:rFonts w:hint="eastAsia" w:ascii="仿宋" w:hAnsi="仿宋" w:eastAsia="仿宋" w:cs="仿宋"/>
          <w:kern w:val="0"/>
          <w:sz w:val="24"/>
        </w:rPr>
        <w:t>将通过</w:t>
      </w:r>
      <w:r>
        <w:rPr>
          <w:rFonts w:hint="eastAsia" w:ascii="仿宋" w:hAnsi="仿宋" w:eastAsia="仿宋" w:cs="宋体"/>
          <w:color w:val="000000"/>
          <w:kern w:val="0"/>
          <w:sz w:val="24"/>
        </w:rPr>
        <w:t>本产品说明书约定的信息披露渠道</w:t>
      </w:r>
      <w:r>
        <w:rPr>
          <w:rFonts w:hint="eastAsia" w:ascii="仿宋" w:hAnsi="仿宋" w:eastAsia="仿宋" w:cs="仿宋"/>
          <w:kern w:val="0"/>
          <w:sz w:val="24"/>
        </w:rPr>
        <w:t>发布临时公告。</w:t>
      </w:r>
    </w:p>
    <w:p>
      <w:pPr>
        <w:autoSpaceDE w:val="0"/>
        <w:autoSpaceDN w:val="0"/>
        <w:adjustRightInd w:val="0"/>
        <w:snapToGrid w:val="0"/>
        <w:spacing w:line="276" w:lineRule="auto"/>
        <w:ind w:firstLine="480" w:firstLineChars="200"/>
        <w:rPr>
          <w:rFonts w:ascii="仿宋" w:hAnsi="仿宋" w:eastAsia="仿宋" w:cs="仿宋"/>
          <w:kern w:val="0"/>
          <w:sz w:val="24"/>
        </w:rPr>
      </w:pPr>
      <w:r>
        <w:rPr>
          <w:rFonts w:ascii="仿宋" w:hAnsi="仿宋" w:eastAsia="仿宋" w:cs="宋体"/>
          <w:kern w:val="0"/>
          <w:sz w:val="24"/>
        </w:rPr>
        <w:t>6</w:t>
      </w:r>
      <w:r>
        <w:rPr>
          <w:rFonts w:hint="eastAsia" w:ascii="仿宋" w:hAnsi="仿宋" w:eastAsia="仿宋" w:cs="宋体"/>
          <w:kern w:val="0"/>
          <w:sz w:val="24"/>
        </w:rPr>
        <w:t>.</w:t>
      </w:r>
      <w:r>
        <w:rPr>
          <w:rFonts w:hint="eastAsia" w:ascii="仿宋" w:hAnsi="仿宋" w:eastAsia="仿宋" w:cs="仿宋"/>
          <w:kern w:val="0"/>
          <w:sz w:val="24"/>
        </w:rPr>
        <w:t>在运用收取短期赎回费、摆动定价等措施后，</w:t>
      </w:r>
      <w:r>
        <w:rPr>
          <w:rFonts w:hint="eastAsia" w:ascii="仿宋" w:hAnsi="仿宋" w:eastAsia="仿宋" w:cs="宋体"/>
          <w:kern w:val="0"/>
          <w:sz w:val="24"/>
        </w:rPr>
        <w:t>管理人将</w:t>
      </w:r>
      <w:r>
        <w:rPr>
          <w:rFonts w:hint="eastAsia" w:ascii="仿宋" w:hAnsi="仿宋" w:eastAsia="仿宋" w:cs="仿宋"/>
          <w:kern w:val="0"/>
          <w:sz w:val="24"/>
        </w:rPr>
        <w:t>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7．</w:t>
      </w:r>
      <w:r>
        <w:rPr>
          <w:rFonts w:hint="eastAsia" w:ascii="仿宋" w:hAnsi="仿宋" w:eastAsia="仿宋" w:cs="仿宋"/>
          <w:kern w:val="0"/>
          <w:sz w:val="24"/>
        </w:rPr>
        <w:t>在运用暂停认（申）购、延期办理巨额赎回申请、暂停接受赎回申请、延缓支付赎回款项、暂停理财产品估值等措施后，</w:t>
      </w:r>
      <w:r>
        <w:rPr>
          <w:rFonts w:hint="eastAsia" w:ascii="仿宋" w:hAnsi="仿宋" w:eastAsia="仿宋" w:cs="宋体"/>
          <w:kern w:val="0"/>
          <w:sz w:val="24"/>
        </w:rPr>
        <w:t>管理人</w:t>
      </w:r>
      <w:r>
        <w:rPr>
          <w:rFonts w:hint="eastAsia" w:ascii="仿宋" w:hAnsi="仿宋" w:eastAsia="仿宋" w:cs="仿宋"/>
          <w:kern w:val="0"/>
          <w:sz w:val="24"/>
        </w:rPr>
        <w:t>将在3个工作日内，通过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相关信息，并说明运用相关措施的原因、拟采取的应对安排等。</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kern w:val="0"/>
          <w:sz w:val="24"/>
        </w:rPr>
        <w:t>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（四）投资者关于信息披露的确认</w:t>
      </w:r>
    </w:p>
    <w:p>
      <w:pPr>
        <w:spacing w:after="156" w:afterLines="50" w:line="276" w:lineRule="auto"/>
        <w:ind w:firstLine="480"/>
        <w:contextualSpacing/>
        <w:rPr>
          <w:rFonts w:ascii="仿宋" w:hAnsi="仿宋" w:eastAsia="仿宋"/>
        </w:rPr>
      </w:pPr>
      <w:r>
        <w:rPr>
          <w:rFonts w:hint="eastAsia" w:ascii="仿宋" w:hAnsi="仿宋" w:eastAsia="仿宋" w:cs="宋体"/>
          <w:kern w:val="0"/>
          <w:sz w:val="24"/>
        </w:rPr>
        <w:t>投资者确认并同意管理人可以通过上述方式披露理财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w:t>
      </w:r>
      <w:r>
        <w:rPr>
          <w:rFonts w:hint="eastAsia" w:ascii="仿宋" w:hAnsi="仿宋" w:eastAsia="仿宋" w:cs="宋体"/>
          <w:color w:val="000000"/>
          <w:kern w:val="0"/>
          <w:sz w:val="24"/>
        </w:rPr>
        <w:t>理财</w:t>
      </w:r>
      <w:r>
        <w:rPr>
          <w:rFonts w:ascii="仿宋" w:hAnsi="仿宋" w:eastAsia="仿宋" w:cs="宋体"/>
          <w:color w:val="000000"/>
          <w:kern w:val="0"/>
          <w:sz w:val="24"/>
        </w:rPr>
        <w:t>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18"/>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如客户通过华夏理财/代销机构电子渠道购买本理财产品，本产品说明书自客户通过电子渠道确认同意，完成购买资金划付，并经华夏理财系统确认购买份额之日起生效。</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管理人：华夏理财有限责任公司 </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rial Unicode MS">
    <w:panose1 w:val="020B0604020202020204"/>
    <w:charset w:val="86"/>
    <w:family w:val="swiss"/>
    <w:pitch w:val="default"/>
    <w:sig w:usb0="FFFFFFFF" w:usb1="E9FFFFFF" w:usb2="0000003F" w:usb3="00000000" w:csb0="603F01FF" w:csb1="FFFF0000"/>
  </w:font>
  <w:font w:name="仿宋_GB2312">
    <w:altName w:val="仿宋"/>
    <w:panose1 w:val="02010609030101010101"/>
    <w:charset w:val="86"/>
    <w:family w:val="modern"/>
    <w:pitch w:val="default"/>
    <w:sig w:usb0="00000001" w:usb1="080E0000" w:usb2="00000010" w:usb3="00000000" w:csb0="00040000" w:csb1="00000000"/>
  </w:font>
  <w:font w:name="微软简仿宋">
    <w:panose1 w:val="00000000000000000000"/>
    <w:charset w:val="86"/>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408C"/>
    <w:rsid w:val="00020F81"/>
    <w:rsid w:val="0004485A"/>
    <w:rsid w:val="00044B7F"/>
    <w:rsid w:val="0004783E"/>
    <w:rsid w:val="0006081B"/>
    <w:rsid w:val="00063561"/>
    <w:rsid w:val="000713E1"/>
    <w:rsid w:val="000805E4"/>
    <w:rsid w:val="00085777"/>
    <w:rsid w:val="00092E28"/>
    <w:rsid w:val="000932F8"/>
    <w:rsid w:val="000950EC"/>
    <w:rsid w:val="000973A7"/>
    <w:rsid w:val="000A2EE9"/>
    <w:rsid w:val="000A3C07"/>
    <w:rsid w:val="000B2154"/>
    <w:rsid w:val="000B32CF"/>
    <w:rsid w:val="000C59AA"/>
    <w:rsid w:val="000D002A"/>
    <w:rsid w:val="000D7DE2"/>
    <w:rsid w:val="000E195A"/>
    <w:rsid w:val="00101A55"/>
    <w:rsid w:val="00103FDF"/>
    <w:rsid w:val="00111BDB"/>
    <w:rsid w:val="0011683A"/>
    <w:rsid w:val="001260F4"/>
    <w:rsid w:val="001318D7"/>
    <w:rsid w:val="001322B8"/>
    <w:rsid w:val="0013262B"/>
    <w:rsid w:val="00141481"/>
    <w:rsid w:val="001423F3"/>
    <w:rsid w:val="00142652"/>
    <w:rsid w:val="00146323"/>
    <w:rsid w:val="00167A6E"/>
    <w:rsid w:val="00170760"/>
    <w:rsid w:val="00172A27"/>
    <w:rsid w:val="001861EC"/>
    <w:rsid w:val="00192AD3"/>
    <w:rsid w:val="0019771D"/>
    <w:rsid w:val="001A0DF1"/>
    <w:rsid w:val="001B007A"/>
    <w:rsid w:val="001B29E5"/>
    <w:rsid w:val="001B2C46"/>
    <w:rsid w:val="001D5895"/>
    <w:rsid w:val="001E4307"/>
    <w:rsid w:val="001F21AD"/>
    <w:rsid w:val="001F4C9F"/>
    <w:rsid w:val="00200BB3"/>
    <w:rsid w:val="00203B96"/>
    <w:rsid w:val="00214B23"/>
    <w:rsid w:val="00216CAD"/>
    <w:rsid w:val="00220E75"/>
    <w:rsid w:val="002473CD"/>
    <w:rsid w:val="00260FED"/>
    <w:rsid w:val="00265998"/>
    <w:rsid w:val="00274C48"/>
    <w:rsid w:val="00277CAB"/>
    <w:rsid w:val="00282724"/>
    <w:rsid w:val="00293AA7"/>
    <w:rsid w:val="00294355"/>
    <w:rsid w:val="002A2967"/>
    <w:rsid w:val="002A2FEF"/>
    <w:rsid w:val="002B273D"/>
    <w:rsid w:val="002C7F16"/>
    <w:rsid w:val="002E5919"/>
    <w:rsid w:val="002E7F9D"/>
    <w:rsid w:val="00311DBF"/>
    <w:rsid w:val="00311EF5"/>
    <w:rsid w:val="003248AF"/>
    <w:rsid w:val="00351C38"/>
    <w:rsid w:val="003522B1"/>
    <w:rsid w:val="00362E0F"/>
    <w:rsid w:val="00365E5C"/>
    <w:rsid w:val="00367563"/>
    <w:rsid w:val="00375CE6"/>
    <w:rsid w:val="0038373F"/>
    <w:rsid w:val="003923B3"/>
    <w:rsid w:val="003B43C0"/>
    <w:rsid w:val="003C0388"/>
    <w:rsid w:val="003C51E8"/>
    <w:rsid w:val="003D55AF"/>
    <w:rsid w:val="003D65A8"/>
    <w:rsid w:val="003E4BEB"/>
    <w:rsid w:val="003E64B9"/>
    <w:rsid w:val="003F1B6F"/>
    <w:rsid w:val="003F5AF4"/>
    <w:rsid w:val="003F6114"/>
    <w:rsid w:val="004021F4"/>
    <w:rsid w:val="0041365E"/>
    <w:rsid w:val="004145E0"/>
    <w:rsid w:val="0042748A"/>
    <w:rsid w:val="0043490E"/>
    <w:rsid w:val="00440BC3"/>
    <w:rsid w:val="0045546E"/>
    <w:rsid w:val="00455D0C"/>
    <w:rsid w:val="00457090"/>
    <w:rsid w:val="00462536"/>
    <w:rsid w:val="004734C8"/>
    <w:rsid w:val="00474458"/>
    <w:rsid w:val="00484075"/>
    <w:rsid w:val="0049300B"/>
    <w:rsid w:val="00494748"/>
    <w:rsid w:val="00497C39"/>
    <w:rsid w:val="004B06AD"/>
    <w:rsid w:val="004B07F8"/>
    <w:rsid w:val="004B2908"/>
    <w:rsid w:val="004C1CD0"/>
    <w:rsid w:val="004C4084"/>
    <w:rsid w:val="004C6D16"/>
    <w:rsid w:val="004D435C"/>
    <w:rsid w:val="004E7D97"/>
    <w:rsid w:val="004F0884"/>
    <w:rsid w:val="004F4E81"/>
    <w:rsid w:val="004F648F"/>
    <w:rsid w:val="00501711"/>
    <w:rsid w:val="00501BB4"/>
    <w:rsid w:val="005114E6"/>
    <w:rsid w:val="00512B7C"/>
    <w:rsid w:val="00532BEE"/>
    <w:rsid w:val="00557F33"/>
    <w:rsid w:val="005604F6"/>
    <w:rsid w:val="00560CC1"/>
    <w:rsid w:val="005727C8"/>
    <w:rsid w:val="00576EC5"/>
    <w:rsid w:val="005835EB"/>
    <w:rsid w:val="005A4F97"/>
    <w:rsid w:val="005A5167"/>
    <w:rsid w:val="005A6E67"/>
    <w:rsid w:val="005B536D"/>
    <w:rsid w:val="005C08EC"/>
    <w:rsid w:val="005C120E"/>
    <w:rsid w:val="005D3AAF"/>
    <w:rsid w:val="005E28E4"/>
    <w:rsid w:val="005E4DED"/>
    <w:rsid w:val="005E7E9C"/>
    <w:rsid w:val="005F45E5"/>
    <w:rsid w:val="005F66E4"/>
    <w:rsid w:val="005F7E82"/>
    <w:rsid w:val="00602ED4"/>
    <w:rsid w:val="006075D0"/>
    <w:rsid w:val="00613BD1"/>
    <w:rsid w:val="00656FE9"/>
    <w:rsid w:val="00670595"/>
    <w:rsid w:val="00677437"/>
    <w:rsid w:val="00681E3A"/>
    <w:rsid w:val="0068328B"/>
    <w:rsid w:val="006860DD"/>
    <w:rsid w:val="0069073D"/>
    <w:rsid w:val="006915E0"/>
    <w:rsid w:val="0069363A"/>
    <w:rsid w:val="006A3461"/>
    <w:rsid w:val="006A3ABB"/>
    <w:rsid w:val="006D3A14"/>
    <w:rsid w:val="006E0E9D"/>
    <w:rsid w:val="006E711E"/>
    <w:rsid w:val="006E742E"/>
    <w:rsid w:val="006F119A"/>
    <w:rsid w:val="006F3678"/>
    <w:rsid w:val="006F50CA"/>
    <w:rsid w:val="00703F7A"/>
    <w:rsid w:val="00712CC7"/>
    <w:rsid w:val="00734D46"/>
    <w:rsid w:val="0074537A"/>
    <w:rsid w:val="0076606B"/>
    <w:rsid w:val="00777429"/>
    <w:rsid w:val="007815CF"/>
    <w:rsid w:val="00785CAB"/>
    <w:rsid w:val="00792744"/>
    <w:rsid w:val="007B1FB0"/>
    <w:rsid w:val="007B5822"/>
    <w:rsid w:val="007F00D6"/>
    <w:rsid w:val="007F32C1"/>
    <w:rsid w:val="00807C05"/>
    <w:rsid w:val="008137C7"/>
    <w:rsid w:val="008202B4"/>
    <w:rsid w:val="00826F03"/>
    <w:rsid w:val="008277B6"/>
    <w:rsid w:val="00835BC2"/>
    <w:rsid w:val="0083661A"/>
    <w:rsid w:val="00836CF0"/>
    <w:rsid w:val="00841B66"/>
    <w:rsid w:val="00843345"/>
    <w:rsid w:val="00846F1F"/>
    <w:rsid w:val="00846FF0"/>
    <w:rsid w:val="00852D93"/>
    <w:rsid w:val="00863612"/>
    <w:rsid w:val="00864B44"/>
    <w:rsid w:val="00870823"/>
    <w:rsid w:val="00874410"/>
    <w:rsid w:val="00887E73"/>
    <w:rsid w:val="0089364D"/>
    <w:rsid w:val="008B3093"/>
    <w:rsid w:val="008D19F3"/>
    <w:rsid w:val="008D5335"/>
    <w:rsid w:val="008D5F85"/>
    <w:rsid w:val="008E0C40"/>
    <w:rsid w:val="008F6891"/>
    <w:rsid w:val="00902123"/>
    <w:rsid w:val="00916782"/>
    <w:rsid w:val="0092528D"/>
    <w:rsid w:val="009267C7"/>
    <w:rsid w:val="00942484"/>
    <w:rsid w:val="00953E36"/>
    <w:rsid w:val="00965372"/>
    <w:rsid w:val="00971A91"/>
    <w:rsid w:val="00972105"/>
    <w:rsid w:val="00991FA8"/>
    <w:rsid w:val="009941FD"/>
    <w:rsid w:val="009A3572"/>
    <w:rsid w:val="009A3901"/>
    <w:rsid w:val="009A5350"/>
    <w:rsid w:val="009C0A85"/>
    <w:rsid w:val="009C16E3"/>
    <w:rsid w:val="009C4B76"/>
    <w:rsid w:val="009C5840"/>
    <w:rsid w:val="009D76E2"/>
    <w:rsid w:val="009E6D89"/>
    <w:rsid w:val="009F0D25"/>
    <w:rsid w:val="009F1CB5"/>
    <w:rsid w:val="00A12304"/>
    <w:rsid w:val="00A25440"/>
    <w:rsid w:val="00A33474"/>
    <w:rsid w:val="00A403DC"/>
    <w:rsid w:val="00A51A90"/>
    <w:rsid w:val="00A547BE"/>
    <w:rsid w:val="00A55E93"/>
    <w:rsid w:val="00A705A2"/>
    <w:rsid w:val="00A71EF3"/>
    <w:rsid w:val="00A87692"/>
    <w:rsid w:val="00A87B04"/>
    <w:rsid w:val="00A87D42"/>
    <w:rsid w:val="00A93593"/>
    <w:rsid w:val="00A978E7"/>
    <w:rsid w:val="00AA689E"/>
    <w:rsid w:val="00AA7D8A"/>
    <w:rsid w:val="00AD7FE0"/>
    <w:rsid w:val="00AE13B1"/>
    <w:rsid w:val="00AE1B0B"/>
    <w:rsid w:val="00AF3F07"/>
    <w:rsid w:val="00B0003E"/>
    <w:rsid w:val="00B169E1"/>
    <w:rsid w:val="00B2620A"/>
    <w:rsid w:val="00B27136"/>
    <w:rsid w:val="00B27633"/>
    <w:rsid w:val="00B36EED"/>
    <w:rsid w:val="00B47C68"/>
    <w:rsid w:val="00B5695A"/>
    <w:rsid w:val="00B72B76"/>
    <w:rsid w:val="00B83668"/>
    <w:rsid w:val="00B91ACC"/>
    <w:rsid w:val="00BA7546"/>
    <w:rsid w:val="00BA77A8"/>
    <w:rsid w:val="00BB4269"/>
    <w:rsid w:val="00BC0591"/>
    <w:rsid w:val="00BC4B7F"/>
    <w:rsid w:val="00BE076D"/>
    <w:rsid w:val="00BE1EBE"/>
    <w:rsid w:val="00BE4A47"/>
    <w:rsid w:val="00BE68E0"/>
    <w:rsid w:val="00BE7E09"/>
    <w:rsid w:val="00BF19EC"/>
    <w:rsid w:val="00BF3BE3"/>
    <w:rsid w:val="00C21069"/>
    <w:rsid w:val="00C33E4C"/>
    <w:rsid w:val="00C34069"/>
    <w:rsid w:val="00C55671"/>
    <w:rsid w:val="00C61C44"/>
    <w:rsid w:val="00C83009"/>
    <w:rsid w:val="00C841D0"/>
    <w:rsid w:val="00C90E71"/>
    <w:rsid w:val="00C97BDB"/>
    <w:rsid w:val="00CA25C5"/>
    <w:rsid w:val="00CC1EEF"/>
    <w:rsid w:val="00CD2B51"/>
    <w:rsid w:val="00CF69E2"/>
    <w:rsid w:val="00CF6CE2"/>
    <w:rsid w:val="00D000F7"/>
    <w:rsid w:val="00D04582"/>
    <w:rsid w:val="00D06C20"/>
    <w:rsid w:val="00D06F7A"/>
    <w:rsid w:val="00D31F9E"/>
    <w:rsid w:val="00D3392B"/>
    <w:rsid w:val="00D34745"/>
    <w:rsid w:val="00D40B32"/>
    <w:rsid w:val="00D65353"/>
    <w:rsid w:val="00D65F44"/>
    <w:rsid w:val="00D76E1C"/>
    <w:rsid w:val="00D87E03"/>
    <w:rsid w:val="00D919BF"/>
    <w:rsid w:val="00D92D4E"/>
    <w:rsid w:val="00DA36BD"/>
    <w:rsid w:val="00DA511D"/>
    <w:rsid w:val="00DC3F67"/>
    <w:rsid w:val="00DC602D"/>
    <w:rsid w:val="00DE1921"/>
    <w:rsid w:val="00DE2987"/>
    <w:rsid w:val="00DE2BB4"/>
    <w:rsid w:val="00DF0967"/>
    <w:rsid w:val="00E213FD"/>
    <w:rsid w:val="00E44569"/>
    <w:rsid w:val="00E46D53"/>
    <w:rsid w:val="00E61DC6"/>
    <w:rsid w:val="00E64B82"/>
    <w:rsid w:val="00E746F2"/>
    <w:rsid w:val="00E816F5"/>
    <w:rsid w:val="00E83BA4"/>
    <w:rsid w:val="00E879FF"/>
    <w:rsid w:val="00E9555F"/>
    <w:rsid w:val="00E95A0F"/>
    <w:rsid w:val="00EB07F6"/>
    <w:rsid w:val="00EE1D7F"/>
    <w:rsid w:val="00EE7A2F"/>
    <w:rsid w:val="00F14734"/>
    <w:rsid w:val="00F1550F"/>
    <w:rsid w:val="00F15940"/>
    <w:rsid w:val="00F23D66"/>
    <w:rsid w:val="00F36652"/>
    <w:rsid w:val="00F37C88"/>
    <w:rsid w:val="00F40B8D"/>
    <w:rsid w:val="00F444A8"/>
    <w:rsid w:val="00F56D69"/>
    <w:rsid w:val="00F65A2C"/>
    <w:rsid w:val="00F9081B"/>
    <w:rsid w:val="00F93D60"/>
    <w:rsid w:val="00F9415B"/>
    <w:rsid w:val="00F96177"/>
    <w:rsid w:val="00FB342E"/>
    <w:rsid w:val="00FC1677"/>
    <w:rsid w:val="00FD2903"/>
    <w:rsid w:val="00FE1291"/>
    <w:rsid w:val="00FE482B"/>
    <w:rsid w:val="00FF56AD"/>
    <w:rsid w:val="018D5F51"/>
    <w:rsid w:val="01EB6FEC"/>
    <w:rsid w:val="01FE5EB7"/>
    <w:rsid w:val="02027A8D"/>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B7E607B"/>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6469F4"/>
    <w:rsid w:val="44181054"/>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BF3A8B"/>
    <w:rsid w:val="7ED67996"/>
    <w:rsid w:val="7EFE58EB"/>
    <w:rsid w:val="7F116F65"/>
    <w:rsid w:val="7F516160"/>
    <w:rsid w:val="7FD45F9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99" w:semiHidden="0" w:nam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560" w:lineRule="exact"/>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3">
    <w:name w:val="Default Paragraph Font"/>
    <w:unhideWhenUsed/>
    <w:uiPriority w:val="1"/>
  </w:style>
  <w:style w:type="table" w:default="1" w:styleId="11">
    <w:name w:val="Normal Table"/>
    <w:unhideWhenUsed/>
    <w:uiPriority w:val="99"/>
    <w:tblPr>
      <w:tblStyle w:val="11"/>
      <w:tblLayout w:type="fixed"/>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Indent"/>
    <w:basedOn w:val="1"/>
    <w:unhideWhenUsed/>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uiPriority w:val="0"/>
    <w:pPr>
      <w:tabs>
        <w:tab w:val="center" w:pos="4153"/>
        <w:tab w:val="right" w:pos="8306"/>
      </w:tabs>
      <w:snapToGrid w:val="0"/>
      <w:jc w:val="left"/>
    </w:pPr>
    <w:rPr>
      <w:sz w:val="18"/>
      <w:szCs w:val="20"/>
    </w:rPr>
  </w:style>
  <w:style w:type="paragraph" w:styleId="10">
    <w:name w:val="header"/>
    <w:basedOn w:val="1"/>
    <w:unhideWhenUsed/>
    <w:uiPriority w:val="0"/>
    <w:pPr>
      <w:pBdr>
        <w:bottom w:val="single" w:color="auto" w:sz="6" w:space="1"/>
      </w:pBdr>
      <w:tabs>
        <w:tab w:val="center" w:pos="4153"/>
        <w:tab w:val="right" w:pos="8306"/>
      </w:tabs>
      <w:snapToGrid w:val="0"/>
      <w:jc w:val="center"/>
    </w:pPr>
    <w:rPr>
      <w:sz w:val="18"/>
      <w:szCs w:val="20"/>
    </w:rPr>
  </w:style>
  <w:style w:type="table" w:styleId="12">
    <w:name w:val="Table Grid"/>
    <w:basedOn w:val="11"/>
    <w:unhideWhenUsed/>
    <w:uiPriority w:val="0"/>
    <w:pPr>
      <w:widowControl w:val="0"/>
      <w:jc w:val="both"/>
    </w:pPr>
    <w:rPr>
      <w:rFonts w:eastAsia="Times New Roman"/>
    </w:r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4">
    <w:name w:val="annotation reference"/>
    <w:uiPriority w:val="0"/>
    <w:rPr>
      <w:sz w:val="21"/>
      <w:szCs w:val="21"/>
    </w:rPr>
  </w:style>
  <w:style w:type="paragraph" w:styleId="15">
    <w:name w:val=""/>
    <w:unhideWhenUsed/>
    <w:uiPriority w:val="99"/>
    <w:rPr>
      <w:kern w:val="2"/>
      <w:sz w:val="21"/>
      <w:szCs w:val="24"/>
      <w:lang w:val="en-US" w:eastAsia="zh-CN" w:bidi="ar-SA"/>
    </w:rPr>
  </w:style>
  <w:style w:type="paragraph" w:customStyle="1" w:styleId="16">
    <w:name w:val="正文 A"/>
    <w:uiPriority w:val="0"/>
    <w:pPr>
      <w:widowControl w:val="0"/>
      <w:spacing w:line="560" w:lineRule="atLeast"/>
      <w:ind w:firstLine="640"/>
      <w:jc w:val="both"/>
    </w:pPr>
    <w:rPr>
      <w:rFonts w:ascii="Arial Unicode MS" w:hAnsi="Arial Unicode MS" w:cs="Arial Unicode MS"/>
      <w:color w:val="000000"/>
      <w:kern w:val="2"/>
      <w:sz w:val="32"/>
      <w:szCs w:val="32"/>
      <w:u w:val="none" w:color="000000"/>
      <w:lang w:val="en-US" w:eastAsia="zh-CN" w:bidi="ar-SA"/>
    </w:rPr>
  </w:style>
  <w:style w:type="paragraph" w:customStyle="1" w:styleId="17">
    <w:name w:val="p0"/>
    <w:basedOn w:val="1"/>
    <w:uiPriority w:val="0"/>
    <w:pPr>
      <w:widowControl/>
    </w:pPr>
    <w:rPr>
      <w:kern w:val="0"/>
      <w:szCs w:val="21"/>
    </w:rPr>
  </w:style>
  <w:style w:type="paragraph" w:customStyle="1" w:styleId="18">
    <w:name w:val="Defaul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19">
    <w:name w:val="YJH-nei"/>
    <w:uiPriority w:val="0"/>
    <w:pPr>
      <w:spacing w:line="600" w:lineRule="exact"/>
      <w:ind w:firstLine="200" w:firstLineChars="200"/>
    </w:pPr>
    <w:rPr>
      <w:rFonts w:ascii="仿宋_GB2312" w:hAnsi="宋体" w:eastAsia="仿宋_GB2312"/>
      <w:sz w:val="30"/>
      <w:szCs w:val="30"/>
      <w:lang w:val="en-US" w:eastAsia="zh-CN" w:bidi="ar-SA"/>
    </w:rPr>
  </w:style>
  <w:style w:type="character" w:customStyle="1" w:styleId="20">
    <w:name w:val="font11"/>
    <w:uiPriority w:val="0"/>
    <w:rPr>
      <w:rFonts w:hint="default" w:ascii="微软简仿宋" w:hAnsi="微软简仿宋" w:eastAsia="微软简仿宋" w:cs="微软简仿宋"/>
      <w:color w:val="000000"/>
      <w:sz w:val="24"/>
      <w:szCs w:val="24"/>
      <w:u w:val="none"/>
    </w:rPr>
  </w:style>
  <w:style w:type="character" w:customStyle="1" w:styleId="21">
    <w:name w:val="font01"/>
    <w:uiPriority w:val="0"/>
    <w:rPr>
      <w:rFonts w:hint="default" w:ascii="Times New Roman" w:hAnsi="Times New Roman" w:cs="Times New Roman"/>
      <w:color w:val="000000"/>
      <w:sz w:val="24"/>
      <w:szCs w:val="24"/>
      <w:u w:val="none"/>
    </w:rPr>
  </w:style>
  <w:style w:type="character" w:customStyle="1" w:styleId="22">
    <w:name w:val="font51"/>
    <w:uiPriority w:val="0"/>
    <w:rPr>
      <w:rFonts w:hint="default" w:ascii="Times New Roman" w:hAnsi="Times New Roman" w:cs="Times New Roman"/>
      <w:color w:val="000000"/>
      <w:sz w:val="24"/>
      <w:szCs w:val="24"/>
      <w:u w:val="none"/>
    </w:rPr>
  </w:style>
  <w:style w:type="character" w:customStyle="1" w:styleId="23">
    <w:name w:val="font81"/>
    <w:uiPriority w:val="0"/>
    <w:rPr>
      <w:rFonts w:hint="default" w:ascii="微软简仿宋" w:hAnsi="微软简仿宋" w:eastAsia="微软简仿宋" w:cs="微软简仿宋"/>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17</Pages>
  <Words>2811</Words>
  <Characters>16027</Characters>
  <Lines>133</Lines>
  <Paragraphs>37</Paragraphs>
  <TotalTime>1</TotalTime>
  <ScaleCrop>false</ScaleCrop>
  <LinksUpToDate>false</LinksUpToDate>
  <CharactersWithSpaces>18801</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2022-11-14T02:23:00Z</dcterms:created>
  <dc:creator>ylh</dc:creator>
  <cp:keywords>新版</cp:keywords>
  <cp:lastModifiedBy>吴丹阳</cp:lastModifiedBy>
  <dcterms:modified xsi:type="dcterms:W3CDTF">2022-12-08T11:49:05Z</dcterms:modified>
  <dc:title>华夏理财龙盈ESG混合G款</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