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23263B"/>
          <w:spacing w:val="11"/>
          <w:sz w:val="23"/>
          <w:szCs w:val="23"/>
        </w:rPr>
      </w:pPr>
      <w:bookmarkStart w:id="0" w:name="_GoBack"/>
      <w:bookmarkEnd w:id="0"/>
      <w:r>
        <w:rPr>
          <w:rFonts w:hint="default" w:ascii="Arial" w:hAnsi="Arial" w:eastAsia="Arial" w:cs="Arial"/>
          <w:b/>
          <w:i w:val="0"/>
          <w:caps w:val="0"/>
          <w:color w:val="23263B"/>
          <w:spacing w:val="11"/>
          <w:sz w:val="23"/>
          <w:szCs w:val="23"/>
        </w:rPr>
        <w:t>如何确定一个合理的ramp-up period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572" w:right="0" w:hanging="360"/>
        <w:jc w:val="left"/>
        <w:rPr>
          <w:spacing w:val="11"/>
        </w:rPr>
      </w:pPr>
      <w:r>
        <w:rPr>
          <w:rFonts w:hint="default" w:ascii="Arial" w:hAnsi="Arial" w:eastAsia="Arial" w:cs="Arial"/>
          <w:i w:val="0"/>
          <w:caps w:val="0"/>
          <w:color w:val="23263B"/>
          <w:spacing w:val="11"/>
          <w:sz w:val="23"/>
          <w:szCs w:val="23"/>
        </w:rPr>
        <w:t>首先，让初始点击率接近平均点击率，前提是确定合理的访问量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572" w:right="0" w:hanging="360"/>
        <w:jc w:val="left"/>
        <w:rPr>
          <w:spacing w:val="11"/>
        </w:rPr>
      </w:pPr>
      <w:r>
        <w:rPr>
          <w:rFonts w:hint="default" w:ascii="Arial" w:hAnsi="Arial" w:eastAsia="Arial" w:cs="Arial"/>
          <w:i w:val="0"/>
          <w:caps w:val="0"/>
          <w:color w:val="23263B"/>
          <w:spacing w:val="11"/>
          <w:sz w:val="23"/>
          <w:szCs w:val="23"/>
        </w:rPr>
        <w:t>初始的 ramp-up period = 平均点击率= 总线程/点击率；假如线程数=100，点击率=10次/s，则ramp-up period = 100/10 = 10s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572" w:right="0" w:hanging="360"/>
        <w:jc w:val="left"/>
        <w:rPr>
          <w:spacing w:val="11"/>
        </w:rPr>
      </w:pPr>
      <w:r>
        <w:rPr>
          <w:rFonts w:hint="eastAsia" w:ascii="Arial" w:hAnsi="Arial" w:eastAsia="宋体" w:cs="Arial"/>
          <w:i w:val="0"/>
          <w:caps w:val="0"/>
          <w:color w:val="23263B"/>
          <w:spacing w:val="11"/>
          <w:sz w:val="23"/>
          <w:szCs w:val="23"/>
          <w:lang w:val="en-US" w:eastAsia="zh-CN"/>
        </w:rPr>
        <w:t>对于武汉公积金中心24小时共计110w 访问，以极端情况考虑，这110w 均在工作时间的8小时内，且全部用到加解密接口，此时对应的点击率为 110w/8/3600=38.194次/s，为方便计算以40次/s 计算。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212" w:leftChars="0" w:right="0" w:rightChars="0"/>
        <w:jc w:val="left"/>
        <w:rPr>
          <w:rFonts w:hint="eastAsia"/>
          <w:spacing w:val="11"/>
          <w:lang w:val="en-US" w:eastAsia="zh-CN"/>
        </w:rPr>
      </w:pPr>
      <w:r>
        <w:rPr>
          <w:rFonts w:hint="eastAsia"/>
          <w:spacing w:val="11"/>
          <w:lang w:val="en-US" w:eastAsia="zh-CN"/>
        </w:rPr>
        <w:t>8核14G 内内存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212" w:leftChars="0" w:right="0" w:rightChars="0"/>
        <w:jc w:val="left"/>
        <w:rPr>
          <w:rFonts w:hint="eastAsia"/>
          <w:spacing w:val="1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right="0" w:rightChars="0"/>
        <w:jc w:val="left"/>
        <w:rPr>
          <w:rFonts w:hint="default"/>
          <w:spacing w:val="11"/>
          <w:lang w:val="en-US" w:eastAsia="zh-CN"/>
        </w:rPr>
      </w:pPr>
      <w:r>
        <w:rPr>
          <w:rFonts w:hint="eastAsia"/>
          <w:spacing w:val="11"/>
          <w:lang w:val="en-US" w:eastAsia="zh-CN"/>
        </w:rPr>
        <w:t>批量json 解析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right="0" w:rightChars="0"/>
        <w:jc w:val="left"/>
        <w:rPr>
          <w:rFonts w:hint="default"/>
          <w:spacing w:val="11"/>
          <w:lang w:val="en-US" w:eastAsia="zh-CN"/>
        </w:rPr>
      </w:pPr>
      <w:r>
        <w:rPr>
          <w:rFonts w:hint="eastAsia"/>
          <w:spacing w:val="11"/>
          <w:lang w:val="en-US" w:eastAsia="zh-CN"/>
        </w:rPr>
        <w:t>李阔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right="0" w:rightChars="0"/>
        <w:jc w:val="left"/>
        <w:rPr>
          <w:rFonts w:hint="default"/>
          <w:spacing w:val="11"/>
          <w:lang w:val="en-US" w:eastAsia="zh-CN"/>
        </w:rPr>
      </w:pPr>
      <w:r>
        <w:rPr>
          <w:rFonts w:hint="eastAsia"/>
          <w:spacing w:val="11"/>
          <w:lang w:val="en-US" w:eastAsia="zh-CN"/>
        </w:rPr>
        <w:t>Base64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2E920"/>
    <w:multiLevelType w:val="singleLevel"/>
    <w:tmpl w:val="8952E92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AD6820B"/>
    <w:multiLevelType w:val="multilevel"/>
    <w:tmpl w:val="6AD682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AA5B6F"/>
    <w:rsid w:val="0BAA5B6F"/>
    <w:rsid w:val="48DF56D3"/>
    <w:rsid w:val="5A15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潮州市直及下属单位</Company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2023-08-01T11:38:00Z</dcterms:created>
  <dc:creator>张三</dc:creator>
  <cp:lastModifiedBy>张三</cp:lastModifiedBy>
  <dcterms:modified xsi:type="dcterms:W3CDTF">2023-08-02T03:36:54Z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