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rPr>
          <w:rFonts w:ascii="楷体_GB2312" w:eastAsia="楷体_GB2312" w:hAnsi="华文楷体" w:hint="eastAsia"/>
          <w:b/>
          <w:sz w:val="52"/>
        </w:rPr>
        <w:t>张</w:t>
      </w:r>
      <w:r w:rsidR="00586317">
        <w:rPr>
          <w:rFonts w:ascii="楷体_GB2312" w:eastAsia="楷体_GB2312" w:hAnsi="华文楷体" w:hint="eastAsia"/>
          <w:b/>
          <w:sz w:val="52"/>
        </w:rPr>
        <w:t>小妹</w:t>
      </w:r>
      <w:r w:rsidR="00EB0DB5" w:rsidRPr="00725270">
        <w:rPr>
          <w:rFonts w:ascii="楷体_GB2312" w:eastAsia="楷体_GB2312" w:hAnsi="华文楷体" w:hint="eastAsia"/>
          <w:b/>
          <w:sz w:val="52"/>
        </w:rPr>
        <w:t>简历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尹小哥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男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1998.9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274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尹小哥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74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贵州贵阳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群众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大学专科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大学英语八级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180cm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70kg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三级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贸易经济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xxxxxxxx@sohu.com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133xxxxxx32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2019至2025学年在南山金融投资公司实习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2018至2024学年全国大学生金融投资建模大赛二等奖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2016至2023学年在学生会组织部任干事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2015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爱好旅游等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