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方小妹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1998.4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方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安徽合肥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经济与金融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xxxxxxxx@167.com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138xxxxxx27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2017至2022学年参加学校组织的证券投资计算机模拟实习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2017至2022学年被评为“院级三好学生”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2016至2022学年在学生会组织部任干事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能熟练运用office2014熟练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