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7D42EB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5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7D42EB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b/>
                      <w:sz w:val="60"/>
                      <w:szCs w:val="60"/>
                    </w:rPr>
                  </w:pPr>
                  <w:r/>
                  <w:r>
                    <w:rPr>
                      <w:rFonts w:ascii="微软雅黑" w:hAnsi="微软雅黑" w:eastAsia="微软雅黑"/>
                      <w:sz w:val="50"/>
                    </w:rPr>
                    <w:t>重庆×××股份有限公司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金融哥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执业编号</w:t>
                        </w:r>
                        <w:r w:rsidR="00F47C52"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Tel：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Email：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重庆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财务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指标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资产负债率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71.11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74.32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67.29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67.36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68.49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流动比率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0.98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0.99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1.21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1.12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营业总收入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937亿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1354亿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1607亿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1662亿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1705亿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营业收入环比增长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6.88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15.07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-1.66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1.49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毛利率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9.23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8.84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9.72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10.31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9.84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proofErr w:type="gramStart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5.48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3.24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3.64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2.87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2.34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摊薄净资产收益率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9.48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11.89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10.99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8.8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6.83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每股经营现金流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1.01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0.61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0.26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>
                        <w:r>
                          <w:t>0.96</w:t>
                        </w:r>
                      </w:p>
                    </w:tc>
                  </w:tr>
                </w:tbl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7D42EB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重庆×××股份有限公司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A股代码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600×××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A股简称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重庆×××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上交所主板A股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上海证券交易所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注册资本(元)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7D42EB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7D42EB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7D42EB">
                        <w:pPr>
                          <w:ind w:leftChars="50" w:left="90"/>
                          <w:jc w:val="center"/>
                        </w:pPr>
                        <w:r/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2560320" cy="1463040"/>
                              <wp:docPr id="5" name="Picture 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7D42EB">
                        <w:pPr>
                          <w:ind w:leftChars="50" w:left="90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10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096A2D"/>
    <w:rsid w:val="001305D7"/>
    <w:rsid w:val="001C30A3"/>
    <w:rsid w:val="00273FA4"/>
    <w:rsid w:val="0031551B"/>
    <w:rsid w:val="003440D6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7D42EB"/>
    <w:rsid w:val="009604C3"/>
    <w:rsid w:val="00993E8A"/>
    <w:rsid w:val="00A03AB3"/>
    <w:rsid w:val="00AC37B8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827-1239-4A18-8BF0-6DF85D16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2020-07-21T09:25:00Z</cp:lastPrinted>
  <dcterms:created xsi:type="dcterms:W3CDTF">2021-01-23T12:37:00Z</dcterms:created>
  <dcterms:modified xsi:type="dcterms:W3CDTF">2021-01-23T12:37:00Z</dcterms:modified>
</cp:coreProperties>
</file>