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C37" w:rsidRPr="004C43E4" w:rsidRDefault="00907C37" w:rsidP="00907C37">
      <w:pPr>
        <w:jc w:val="left"/>
        <w:rPr>
          <w:rFonts w:ascii="Arial" w:hAnsi="Arial" w:cs="Arial"/>
          <w:sz w:val="44"/>
          <w:szCs w:val="44"/>
        </w:rPr>
      </w:pPr>
      <w:r w:rsidRPr="004C43E4">
        <w:rPr>
          <w:rFonts w:ascii="Arial" w:hAnsi="Arial" w:cs="Arial"/>
          <w:sz w:val="44"/>
          <w:szCs w:val="44"/>
        </w:rPr>
        <w:t>Core Principles for Effective Banking Supervision</w:t>
      </w:r>
      <w:r w:rsidR="004C43E4" w:rsidRPr="004C43E4">
        <w:rPr>
          <w:rStyle w:val="a6"/>
          <w:rFonts w:ascii="Arial" w:hAnsi="Arial" w:cs="Arial"/>
          <w:sz w:val="44"/>
          <w:szCs w:val="44"/>
        </w:rPr>
        <w:footnoteReference w:id="1"/>
      </w:r>
      <w:r w:rsidR="00D45DBA">
        <w:rPr>
          <w:rStyle w:val="a9"/>
          <w:rFonts w:ascii="Arial" w:hAnsi="Arial" w:cs="Arial"/>
          <w:sz w:val="44"/>
          <w:szCs w:val="44"/>
        </w:rPr>
        <w:endnoteReference w:id="1"/>
      </w:r>
    </w:p>
    <w:p w:rsidR="00907C37" w:rsidRPr="00907C37" w:rsidRDefault="00907C37" w:rsidP="00907C37">
      <w:pPr>
        <w:ind w:firstLineChars="200" w:firstLine="880"/>
        <w:jc w:val="left"/>
        <w:rPr>
          <w:rFonts w:ascii="Arial" w:hAnsi="Arial" w:cs="Arial"/>
          <w:sz w:val="44"/>
          <w:szCs w:val="44"/>
        </w:rPr>
      </w:pPr>
    </w:p>
    <w:p w:rsidR="00907C37" w:rsidRPr="004C43E4" w:rsidRDefault="00907C37" w:rsidP="004C43E4">
      <w:pPr>
        <w:ind w:firstLineChars="200" w:firstLine="480"/>
        <w:jc w:val="left"/>
        <w:rPr>
          <w:rFonts w:ascii="Arial" w:hAnsi="Arial" w:cs="Arial"/>
          <w:sz w:val="24"/>
          <w:szCs w:val="24"/>
        </w:rPr>
      </w:pPr>
      <w:r w:rsidRPr="004C43E4">
        <w:rPr>
          <w:rFonts w:ascii="Arial" w:hAnsi="Arial" w:cs="Arial"/>
          <w:sz w:val="24"/>
          <w:szCs w:val="24"/>
        </w:rPr>
        <w:t xml:space="preserve">Capital adequacy: Supervisors must set prudent and appropriate minimum capital adequacy requirements for banks that reflect the risks that the bank undertakes, and must define the components of capital, bearing in mind its ability to absorb losses. At least for internationally active banks, these requirements must not be less than those established in the applicable Basel requirement. </w:t>
      </w:r>
    </w:p>
    <w:p w:rsidR="008D49D7" w:rsidRDefault="00907C37" w:rsidP="004C43E4">
      <w:pPr>
        <w:ind w:firstLineChars="200" w:firstLine="480"/>
        <w:jc w:val="left"/>
        <w:rPr>
          <w:rFonts w:ascii="Arial" w:hAnsi="Arial" w:cs="Arial"/>
          <w:sz w:val="24"/>
          <w:szCs w:val="24"/>
        </w:rPr>
      </w:pPr>
      <w:r w:rsidRPr="004C43E4">
        <w:rPr>
          <w:rFonts w:ascii="Arial" w:hAnsi="Arial" w:cs="Arial"/>
          <w:sz w:val="24"/>
          <w:szCs w:val="24"/>
        </w:rPr>
        <w:t>Risk management process: Supervisors must be satisfied that banks and banking groups have in place a comprehensive risk management process (including Board and senior management oversight) to identify, evaluate, monitor and control or mitigate all material risks and to assess their overall capital adequacy in relation to their risk profile. These processes should be commensurate with the size and complexity of the institution.</w:t>
      </w:r>
    </w:p>
    <w:p w:rsidR="004C43E4" w:rsidRDefault="00495092" w:rsidP="00567E41">
      <w:pPr>
        <w:ind w:firstLineChars="200" w:firstLine="420"/>
        <w:jc w:val="left"/>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40640</wp:posOffset>
                </wp:positionH>
                <wp:positionV relativeFrom="paragraph">
                  <wp:posOffset>109220</wp:posOffset>
                </wp:positionV>
                <wp:extent cx="6483350" cy="897890"/>
                <wp:effectExtent l="0" t="0" r="12700" b="1651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3350" cy="897890"/>
                        </a:xfrm>
                        <a:prstGeom prst="rect">
                          <a:avLst/>
                        </a:prstGeom>
                        <a:solidFill>
                          <a:sysClr val="window" lastClr="FFFFFF"/>
                        </a:solidFill>
                        <a:ln w="6350">
                          <a:solidFill>
                            <a:prstClr val="black"/>
                          </a:solidFill>
                        </a:ln>
                        <a:effectLst/>
                      </wps:spPr>
                      <wps:txbx>
                        <w:txbxContent>
                          <w:p w:rsidR="004C43E4" w:rsidRDefault="004C43E4">
                            <w:r w:rsidRPr="004C43E4">
                              <w:rPr>
                                <w:rFonts w:hint="eastAsia"/>
                              </w:rPr>
                              <w:t>资本的类别和子类的数目应当严格限制。一级资本和二级资本分别被定义为在持续经营下吸收损失的资本和在破产清算时吸收损失的资本。此外，关于监管调整的最低要求也应在国际上达成一致。</w:t>
                            </w:r>
                          </w:p>
                          <w:p w:rsidR="004C43E4" w:rsidRDefault="004C43E4">
                            <w:r w:rsidRPr="004C43E4">
                              <w:rPr>
                                <w:rFonts w:hint="eastAsia"/>
                              </w:rPr>
                              <w:t>监管资本的各部分都应当充分披露，并与披露财务报告相协调，以保证市场参与者和监管当局能够比较各国银行的资本充足率。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2pt;margin-top:8.6pt;width:510.5pt;height:7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" fillcolor="window" strokeweight=".5pt">
                <v:path arrowok="t"/>
                <v:textbox>
                  <w:txbxContent>
                    <w:p w:rsidR="004C43E4" w:rsidRDefault="004C43E4">
                      <w:pPr>
                        <w:rPr>
                          <w:rFonts w:hint="eastAsia"/>
                        </w:rPr>
                      </w:pPr>
                      <w:r w:rsidRPr="004C43E4">
                        <w:rPr>
                          <w:rFonts w:hint="eastAsia"/>
                        </w:rPr>
                        <w:t>资本的类别和子类的数目应当严格限制。一级资本和二级资本分别被定义为在持续经营下吸收损失的资本和在破产清算时吸收损失的资本。此外，关于监管调整的最低要求也应在国际上达成一致。</w:t>
                      </w:r>
                    </w:p>
                    <w:p w:rsidR="004C43E4" w:rsidRDefault="004C43E4">
                      <w:r w:rsidRPr="004C43E4">
                        <w:rPr>
                          <w:rFonts w:hint="eastAsia"/>
                        </w:rPr>
                        <w:t>监管资本的各部分都应当充分披露，并与披露财务报告相协调，以保证市场参与者和监管当局能够比较各国银行的资本充足率。</w:t>
                      </w:r>
                    </w:p>
                  </w:txbxContent>
                </v:textbox>
              </v:shape>
            </w:pict>
          </mc:Fallback>
        </mc:AlternateContent>
      </w:r>
    </w:p>
    <w:p w:rsidR="004C43E4" w:rsidRDefault="004C43E4" w:rsidP="004C43E4">
      <w:pPr>
        <w:ind w:firstLineChars="200" w:firstLine="480"/>
        <w:jc w:val="left"/>
        <w:rPr>
          <w:rFonts w:ascii="Arial" w:hAnsi="Arial" w:cs="Arial"/>
          <w:sz w:val="24"/>
          <w:szCs w:val="24"/>
        </w:rPr>
      </w:pPr>
    </w:p>
    <w:p w:rsidR="004C43E4" w:rsidRDefault="004C43E4" w:rsidP="004C43E4">
      <w:pPr>
        <w:ind w:firstLineChars="200" w:firstLine="480"/>
        <w:jc w:val="left"/>
        <w:rPr>
          <w:rFonts w:ascii="Arial" w:hAnsi="Arial" w:cs="Arial"/>
          <w:sz w:val="24"/>
          <w:szCs w:val="24"/>
        </w:rPr>
      </w:pPr>
    </w:p>
    <w:p w:rsidR="004C43E4" w:rsidRDefault="004C43E4" w:rsidP="004C43E4">
      <w:pPr>
        <w:ind w:firstLineChars="200" w:firstLine="480"/>
        <w:jc w:val="left"/>
        <w:rPr>
          <w:rFonts w:ascii="Arial" w:hAnsi="Arial" w:cs="Arial"/>
          <w:sz w:val="24"/>
          <w:szCs w:val="24"/>
        </w:rPr>
      </w:pPr>
    </w:p>
    <w:p w:rsidR="004C43E4" w:rsidRDefault="004C43E4" w:rsidP="004C43E4">
      <w:pPr>
        <w:ind w:firstLineChars="200" w:firstLine="480"/>
        <w:jc w:val="left"/>
        <w:rPr>
          <w:rFonts w:ascii="Arial" w:hAnsi="Arial" w:cs="Arial"/>
          <w:sz w:val="24"/>
          <w:szCs w:val="24"/>
        </w:rPr>
      </w:pPr>
    </w:p>
    <w:p w:rsidR="004C43E4" w:rsidRDefault="004C43E4" w:rsidP="004C43E4">
      <w:pPr>
        <w:ind w:firstLineChars="200" w:firstLine="480"/>
        <w:jc w:val="left"/>
        <w:rPr>
          <w:rFonts w:ascii="Arial" w:hAnsi="Arial" w:cs="Arial"/>
          <w:sz w:val="24"/>
          <w:szCs w:val="24"/>
        </w:rPr>
      </w:pPr>
    </w:p>
    <w:p w:rsidR="004C43E4" w:rsidRDefault="00495092" w:rsidP="00567E41">
      <w:pPr>
        <w:ind w:firstLineChars="200" w:firstLine="420"/>
        <w:jc w:val="left"/>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40640</wp:posOffset>
                </wp:positionH>
                <wp:positionV relativeFrom="paragraph">
                  <wp:posOffset>55245</wp:posOffset>
                </wp:positionV>
                <wp:extent cx="6483350" cy="1036955"/>
                <wp:effectExtent l="0" t="0" r="12700" b="10795"/>
                <wp:wrapNone/>
                <wp:docPr id="7"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1036955"/>
                        </a:xfrm>
                        <a:prstGeom prst="rect">
                          <a:avLst/>
                        </a:prstGeom>
                        <a:noFill/>
                        <a:ln w="25400" cap="flat" cmpd="sng" algn="ctr">
                          <a:solidFill>
                            <a:sysClr val="windowText" lastClr="000000"/>
                          </a:solidFill>
                          <a:prstDash val="solid"/>
                        </a:ln>
                        <a:effectLst/>
                      </wps:spPr>
                      <wps:txbx>
                        <w:txbxContent>
                          <w:p w:rsidR="004C43E4" w:rsidRPr="00567E41" w:rsidRDefault="004C43E4" w:rsidP="004C43E4">
                            <w:pPr>
                              <w:jc w:val="left"/>
                              <w:rPr>
                                <w:color w:val="000000"/>
                              </w:rPr>
                            </w:pPr>
                            <w:r w:rsidRPr="00567E41">
                              <w:rPr>
                                <w:rFonts w:hint="eastAsia"/>
                                <w:color w:val="000000"/>
                              </w:rPr>
                              <w:t>对于股份公司制的银行，一级资本的主要形式应为普通股和留存收益。监管调整项目将全球统一，并适用于普通股。</w:t>
                            </w:r>
                          </w:p>
                          <w:p w:rsidR="004C43E4" w:rsidRPr="00567E41" w:rsidRDefault="004C43E4" w:rsidP="004C43E4">
                            <w:pPr>
                              <w:jc w:val="left"/>
                              <w:rPr>
                                <w:color w:val="000000"/>
                              </w:rPr>
                            </w:pPr>
                            <w:r w:rsidRPr="00567E41">
                              <w:rPr>
                                <w:rFonts w:hint="eastAsia"/>
                                <w:color w:val="000000"/>
                              </w:rPr>
                              <w:t>为保证质量和一致性，普通股必须满足一套合格标准才能被计入一级资本的主要形式。这些标准也适用于非股份制公司的银行，比如合作制银行，确定</w:t>
                            </w:r>
                            <w:proofErr w:type="gramStart"/>
                            <w:r w:rsidRPr="00567E41">
                              <w:rPr>
                                <w:rFonts w:hint="eastAsia"/>
                                <w:color w:val="000000"/>
                              </w:rPr>
                              <w:t>哪些具有</w:t>
                            </w:r>
                            <w:proofErr w:type="gramEnd"/>
                            <w:r w:rsidRPr="00567E41">
                              <w:rPr>
                                <w:rFonts w:hint="eastAsia"/>
                                <w:color w:val="000000"/>
                              </w:rPr>
                              <w:t>相同的质量的金融工具可以作为主要形式计入一级资本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3" o:spid="_x0000_s1027" style="position:absolute;left:0;text-align:left;margin-left:3.2pt;margin-top:4.35pt;width:510.5pt;height:8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" filled="f" strokecolor="windowText" strokeweight="2pt">
                <v:path arrowok="t"/>
                <v:textbox>
                  <w:txbxContent>
                    <w:p w:rsidR="004C43E4" w:rsidRPr="00567E41" w:rsidRDefault="004C43E4" w:rsidP="004C43E4">
                      <w:pPr>
                        <w:jc w:val="left"/>
                        <w:rPr>
                          <w:rFonts w:hint="eastAsia"/>
                          <w:color w:val="000000"/>
                        </w:rPr>
                      </w:pPr>
                      <w:r w:rsidRPr="00567E41">
                        <w:rPr>
                          <w:rFonts w:hint="eastAsia"/>
                          <w:color w:val="000000"/>
                        </w:rPr>
                        <w:t>对于股份公司制的银行，一级资本的主要形式应为普通股和留存收益。监管调整项目将全球统一，并适用于普通股。</w:t>
                      </w:r>
                    </w:p>
                    <w:p w:rsidR="004C43E4" w:rsidRPr="00567E41" w:rsidRDefault="004C43E4" w:rsidP="004C43E4">
                      <w:pPr>
                        <w:jc w:val="left"/>
                        <w:rPr>
                          <w:color w:val="000000"/>
                        </w:rPr>
                      </w:pPr>
                      <w:r w:rsidRPr="00567E41">
                        <w:rPr>
                          <w:rFonts w:hint="eastAsia"/>
                          <w:color w:val="000000"/>
                        </w:rPr>
                        <w:t>为保证质量和一致性，普通股必须满足一套合格标准才能被计入一级资本的主要形式。这些标准也适用于非股份制公司的银行，比如合作制银行，确定</w:t>
                      </w:r>
                      <w:proofErr w:type="gramStart"/>
                      <w:r w:rsidRPr="00567E41">
                        <w:rPr>
                          <w:rFonts w:hint="eastAsia"/>
                          <w:color w:val="000000"/>
                        </w:rPr>
                        <w:t>哪些具有</w:t>
                      </w:r>
                      <w:proofErr w:type="gramEnd"/>
                      <w:r w:rsidRPr="00567E41">
                        <w:rPr>
                          <w:rFonts w:hint="eastAsia"/>
                          <w:color w:val="000000"/>
                        </w:rPr>
                        <w:t>相同的质量的金融工具可以作为主要形式计入一级资本</w:t>
                      </w:r>
                    </w:p>
                  </w:txbxContent>
                </v:textbox>
              </v:rect>
            </w:pict>
          </mc:Fallback>
        </mc:AlternateContent>
      </w:r>
    </w:p>
    <w:p w:rsidR="004C43E4" w:rsidRDefault="004C43E4" w:rsidP="004C43E4">
      <w:pPr>
        <w:ind w:firstLineChars="200" w:firstLine="480"/>
        <w:jc w:val="left"/>
        <w:rPr>
          <w:rFonts w:ascii="Arial" w:hAnsi="Arial" w:cs="Arial"/>
          <w:sz w:val="24"/>
          <w:szCs w:val="24"/>
        </w:rPr>
      </w:pPr>
    </w:p>
    <w:p w:rsidR="004C43E4" w:rsidRDefault="004C43E4" w:rsidP="004C43E4">
      <w:pPr>
        <w:ind w:firstLineChars="200" w:firstLine="480"/>
        <w:jc w:val="left"/>
        <w:rPr>
          <w:rFonts w:ascii="Arial" w:hAnsi="Arial" w:cs="Arial"/>
          <w:sz w:val="24"/>
          <w:szCs w:val="24"/>
        </w:rPr>
      </w:pPr>
    </w:p>
    <w:p w:rsidR="004C43E4" w:rsidRDefault="004C43E4" w:rsidP="004C43E4">
      <w:pPr>
        <w:ind w:firstLineChars="200" w:firstLine="480"/>
        <w:jc w:val="left"/>
        <w:rPr>
          <w:rFonts w:ascii="Arial" w:hAnsi="Arial" w:cs="Arial"/>
          <w:sz w:val="24"/>
          <w:szCs w:val="24"/>
        </w:rPr>
      </w:pPr>
    </w:p>
    <w:p w:rsidR="004C43E4" w:rsidRDefault="004C43E4" w:rsidP="004C43E4">
      <w:pPr>
        <w:ind w:firstLineChars="200" w:firstLine="480"/>
        <w:jc w:val="left"/>
        <w:rPr>
          <w:rFonts w:ascii="Arial" w:hAnsi="Arial" w:cs="Arial"/>
          <w:sz w:val="24"/>
          <w:szCs w:val="24"/>
        </w:rPr>
      </w:pPr>
    </w:p>
    <w:p w:rsidR="004C43E4" w:rsidRDefault="004C43E4" w:rsidP="004C43E4">
      <w:pPr>
        <w:ind w:firstLineChars="200" w:firstLine="480"/>
        <w:jc w:val="left"/>
        <w:rPr>
          <w:rFonts w:ascii="Arial" w:hAnsi="Arial" w:cs="Arial"/>
          <w:sz w:val="24"/>
          <w:szCs w:val="24"/>
        </w:rPr>
      </w:pPr>
    </w:p>
    <w:p w:rsidR="004C43E4" w:rsidRDefault="004C43E4" w:rsidP="004C43E4">
      <w:pPr>
        <w:ind w:firstLineChars="200" w:firstLine="480"/>
        <w:jc w:val="left"/>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2670"/>
        <w:gridCol w:w="2671"/>
        <w:gridCol w:w="2671"/>
      </w:tblGrid>
      <w:tr w:rsidR="004C43E4" w:rsidRPr="00567E41" w:rsidTr="00567E41">
        <w:tc>
          <w:tcPr>
            <w:tcW w:w="10682" w:type="dxa"/>
            <w:gridSpan w:val="4"/>
            <w:shd w:val="clear" w:color="auto" w:fill="auto"/>
            <w:vAlign w:val="center"/>
          </w:tcPr>
          <w:p w:rsidR="004C43E4" w:rsidRPr="00567E41" w:rsidRDefault="004C43E4">
            <w:pPr>
              <w:rPr>
                <w:rFonts w:ascii="宋体" w:hAnsi="宋体" w:cs="宋体"/>
                <w:sz w:val="24"/>
                <w:szCs w:val="24"/>
              </w:rPr>
            </w:pPr>
            <w:r w:rsidRPr="00567E41">
              <w:rPr>
                <w:rStyle w:val="fontstyle01"/>
                <w:rFonts w:hint="default"/>
              </w:rPr>
              <w:t xml:space="preserve">发行评级AAA </w:t>
            </w:r>
            <w:r w:rsidRPr="00567E41">
              <w:rPr>
                <w:rStyle w:val="fontstyle21"/>
                <w:rFonts w:hint="default"/>
              </w:rPr>
              <w:t xml:space="preserve">到 </w:t>
            </w:r>
            <w:r w:rsidRPr="00567E41">
              <w:rPr>
                <w:rStyle w:val="fontstyle01"/>
                <w:rFonts w:hint="default"/>
              </w:rPr>
              <w:t>AA-/A-1债券的标准的监管折扣系数</w:t>
            </w:r>
            <w:r w:rsidR="00D45DBA" w:rsidRPr="00567E41">
              <w:rPr>
                <w:rStyle w:val="a6"/>
                <w:rFonts w:ascii="宋体" w:hAnsi="宋体"/>
                <w:color w:val="000000"/>
                <w:sz w:val="22"/>
              </w:rPr>
              <w:footnoteReference w:id="2"/>
            </w:r>
          </w:p>
        </w:tc>
      </w:tr>
      <w:tr w:rsidR="0070371B" w:rsidRPr="00567E41" w:rsidTr="00567E41">
        <w:tc>
          <w:tcPr>
            <w:tcW w:w="2670"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剩余期限</w:t>
            </w:r>
          </w:p>
        </w:tc>
        <w:tc>
          <w:tcPr>
            <w:tcW w:w="2670"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主权</w:t>
            </w:r>
          </w:p>
        </w:tc>
        <w:tc>
          <w:tcPr>
            <w:tcW w:w="2671"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其他发行人</w:t>
            </w:r>
          </w:p>
        </w:tc>
        <w:tc>
          <w:tcPr>
            <w:tcW w:w="2671"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证券化暴露</w:t>
            </w:r>
          </w:p>
        </w:tc>
      </w:tr>
      <w:tr w:rsidR="0070371B" w:rsidRPr="00567E41" w:rsidTr="00567E41">
        <w:tc>
          <w:tcPr>
            <w:tcW w:w="2670"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&lt;1</w:t>
            </w:r>
            <w:r>
              <w:rPr>
                <w:rFonts w:hint="eastAsia"/>
                <w:color w:val="000000"/>
                <w:sz w:val="22"/>
              </w:rPr>
              <w:t>年</w:t>
            </w:r>
          </w:p>
        </w:tc>
        <w:tc>
          <w:tcPr>
            <w:tcW w:w="2670"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0.5</w:t>
            </w:r>
          </w:p>
        </w:tc>
        <w:tc>
          <w:tcPr>
            <w:tcW w:w="2671"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1</w:t>
            </w:r>
          </w:p>
        </w:tc>
        <w:tc>
          <w:tcPr>
            <w:tcW w:w="2671"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2</w:t>
            </w:r>
          </w:p>
        </w:tc>
      </w:tr>
      <w:tr w:rsidR="0070371B" w:rsidRPr="00567E41" w:rsidTr="00567E41">
        <w:tc>
          <w:tcPr>
            <w:tcW w:w="2670"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&gt;1</w:t>
            </w:r>
            <w:r>
              <w:rPr>
                <w:rFonts w:hint="eastAsia"/>
                <w:color w:val="000000"/>
                <w:sz w:val="22"/>
              </w:rPr>
              <w:t>年</w:t>
            </w:r>
            <w:r>
              <w:rPr>
                <w:rFonts w:hint="eastAsia"/>
                <w:color w:val="000000"/>
                <w:sz w:val="22"/>
              </w:rPr>
              <w:t>&lt;5</w:t>
            </w:r>
            <w:r>
              <w:rPr>
                <w:rFonts w:hint="eastAsia"/>
                <w:color w:val="000000"/>
                <w:sz w:val="22"/>
              </w:rPr>
              <w:t>年</w:t>
            </w:r>
          </w:p>
        </w:tc>
        <w:tc>
          <w:tcPr>
            <w:tcW w:w="2670"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2</w:t>
            </w:r>
          </w:p>
        </w:tc>
        <w:tc>
          <w:tcPr>
            <w:tcW w:w="2671"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4</w:t>
            </w:r>
          </w:p>
        </w:tc>
        <w:tc>
          <w:tcPr>
            <w:tcW w:w="2671"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8</w:t>
            </w:r>
          </w:p>
        </w:tc>
      </w:tr>
      <w:tr w:rsidR="0070371B" w:rsidRPr="00567E41" w:rsidTr="00567E41">
        <w:tc>
          <w:tcPr>
            <w:tcW w:w="2670"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&gt;5</w:t>
            </w:r>
            <w:r>
              <w:rPr>
                <w:rFonts w:hint="eastAsia"/>
                <w:color w:val="000000"/>
                <w:sz w:val="22"/>
              </w:rPr>
              <w:t>年</w:t>
            </w:r>
          </w:p>
        </w:tc>
        <w:tc>
          <w:tcPr>
            <w:tcW w:w="2670"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4</w:t>
            </w:r>
          </w:p>
        </w:tc>
        <w:tc>
          <w:tcPr>
            <w:tcW w:w="2671"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8</w:t>
            </w:r>
          </w:p>
        </w:tc>
        <w:tc>
          <w:tcPr>
            <w:tcW w:w="2671" w:type="dxa"/>
            <w:shd w:val="clear" w:color="auto" w:fill="auto"/>
            <w:vAlign w:val="center"/>
          </w:tcPr>
          <w:p w:rsidR="0070371B" w:rsidRDefault="0070371B" w:rsidP="0070371B">
            <w:pPr>
              <w:jc w:val="left"/>
              <w:rPr>
                <w:rFonts w:ascii="宋体" w:hAnsi="宋体" w:cs="宋体"/>
                <w:color w:val="000000"/>
                <w:sz w:val="22"/>
              </w:rPr>
            </w:pPr>
            <w:r>
              <w:rPr>
                <w:rFonts w:hint="eastAsia"/>
                <w:color w:val="000000"/>
                <w:sz w:val="22"/>
              </w:rPr>
              <w:t>16</w:t>
            </w:r>
          </w:p>
        </w:tc>
      </w:tr>
      <w:tr w:rsidR="00495092" w:rsidRPr="00567E41" w:rsidTr="00567E41">
        <w:tc>
          <w:tcPr>
            <w:tcW w:w="2670" w:type="dxa"/>
            <w:shd w:val="clear" w:color="auto" w:fill="auto"/>
          </w:tcPr>
          <w:p w:rsidR="004C43E4" w:rsidRPr="00567E41" w:rsidRDefault="004C43E4" w:rsidP="00567E41">
            <w:pPr>
              <w:jc w:val="left"/>
              <w:rPr>
                <w:rFonts w:ascii="Arial" w:hAnsi="Arial" w:cs="Arial"/>
                <w:sz w:val="24"/>
                <w:szCs w:val="24"/>
              </w:rPr>
            </w:pPr>
          </w:p>
        </w:tc>
        <w:tc>
          <w:tcPr>
            <w:tcW w:w="2670" w:type="dxa"/>
            <w:shd w:val="clear" w:color="auto" w:fill="auto"/>
          </w:tcPr>
          <w:p w:rsidR="004C43E4" w:rsidRPr="00567E41" w:rsidRDefault="004C43E4" w:rsidP="00567E41">
            <w:pPr>
              <w:jc w:val="left"/>
              <w:rPr>
                <w:rFonts w:ascii="Arial" w:hAnsi="Arial" w:cs="Arial"/>
                <w:sz w:val="24"/>
                <w:szCs w:val="24"/>
              </w:rPr>
            </w:pPr>
          </w:p>
        </w:tc>
        <w:tc>
          <w:tcPr>
            <w:tcW w:w="2671" w:type="dxa"/>
            <w:shd w:val="clear" w:color="auto" w:fill="auto"/>
          </w:tcPr>
          <w:p w:rsidR="004C43E4" w:rsidRPr="00567E41" w:rsidRDefault="004C43E4" w:rsidP="00567E41">
            <w:pPr>
              <w:jc w:val="left"/>
              <w:rPr>
                <w:rFonts w:ascii="Arial" w:hAnsi="Arial" w:cs="Arial"/>
                <w:sz w:val="24"/>
                <w:szCs w:val="24"/>
              </w:rPr>
            </w:pPr>
          </w:p>
        </w:tc>
        <w:tc>
          <w:tcPr>
            <w:tcW w:w="2671" w:type="dxa"/>
            <w:shd w:val="clear" w:color="auto" w:fill="auto"/>
          </w:tcPr>
          <w:p w:rsidR="004C43E4" w:rsidRPr="00567E41" w:rsidRDefault="004C43E4" w:rsidP="00567E41">
            <w:pPr>
              <w:jc w:val="left"/>
              <w:rPr>
                <w:rFonts w:ascii="Arial" w:hAnsi="Arial" w:cs="Arial"/>
                <w:sz w:val="24"/>
                <w:szCs w:val="24"/>
              </w:rPr>
            </w:pPr>
          </w:p>
        </w:tc>
      </w:tr>
    </w:tbl>
    <w:p w:rsidR="0097766C" w:rsidRPr="004C43E4" w:rsidRDefault="0097766C" w:rsidP="004C43E4">
      <w:pPr>
        <w:jc w:val="left"/>
        <w:rPr>
          <w:rFonts w:ascii="Arial" w:hAnsi="Arial" w:cs="Arial"/>
          <w:sz w:val="24"/>
          <w:szCs w:val="24"/>
        </w:rPr>
      </w:pPr>
    </w:p>
    <w:p w:rsidR="008D49D7" w:rsidRDefault="008D49D7" w:rsidP="008D49D7">
      <w:pPr>
        <w:jc w:val="left"/>
        <w:rPr>
          <w:sz w:val="52"/>
          <w:szCs w:val="52"/>
        </w:rPr>
      </w:pPr>
    </w:p>
    <w:p w:rsidR="008D49D7" w:rsidRDefault="008D49D7" w:rsidP="008D49D7">
      <w:pPr>
        <w:jc w:val="left"/>
        <w:rPr>
          <w:sz w:val="52"/>
          <w:szCs w:val="52"/>
        </w:rPr>
        <w:sectPr w:rsidR="008D49D7" w:rsidSect="00907C37">
          <w:headerReference w:type="default" r:id="rId8"/>
          <w:footerReference w:type="default" r:id="rId9"/>
          <w:pgSz w:w="11906" w:h="16838"/>
          <w:pgMar w:top="720" w:right="720" w:bottom="720" w:left="720" w:header="851" w:footer="992" w:gutter="0"/>
          <w:cols w:space="425"/>
          <w:docGrid w:type="lines" w:linePitch="312"/>
        </w:sectPr>
      </w:pPr>
    </w:p>
    <w:p w:rsidR="00076ED7" w:rsidRPr="00907C37" w:rsidRDefault="00907C37" w:rsidP="00907C37">
      <w:pPr>
        <w:jc w:val="center"/>
        <w:rPr>
          <w:rFonts w:ascii="微软雅黑" w:eastAsia="微软雅黑" w:hAnsi="微软雅黑"/>
          <w:b/>
          <w:sz w:val="52"/>
          <w:szCs w:val="52"/>
        </w:rPr>
      </w:pPr>
      <w:r w:rsidRPr="00907C37">
        <w:rPr>
          <w:rFonts w:ascii="微软雅黑" w:eastAsia="微软雅黑" w:hAnsi="微软雅黑" w:hint="eastAsia"/>
          <w:b/>
          <w:sz w:val="52"/>
          <w:szCs w:val="52"/>
        </w:rPr>
        <w:lastRenderedPageBreak/>
        <w:t>有效银行</w:t>
      </w:r>
      <w:r w:rsidRPr="00620287">
        <w:rPr>
          <w:rFonts w:ascii="微软雅黑" w:eastAsia="微软雅黑" w:hAnsi="微软雅黑" w:hint="eastAsia"/>
          <w:b/>
          <w:sz w:val="52"/>
          <w:szCs w:val="52"/>
          <w:highlight w:val="yellow"/>
        </w:rPr>
        <w:t>监管</w:t>
      </w:r>
      <w:r w:rsidRPr="00907C37">
        <w:rPr>
          <w:rFonts w:ascii="微软雅黑" w:eastAsia="微软雅黑" w:hAnsi="微软雅黑" w:hint="eastAsia"/>
          <w:b/>
          <w:sz w:val="52"/>
          <w:szCs w:val="52"/>
        </w:rPr>
        <w:t>核心原则</w:t>
      </w:r>
      <w:r w:rsidR="00D45DBA">
        <w:rPr>
          <w:rStyle w:val="a9"/>
          <w:rFonts w:ascii="微软雅黑" w:eastAsia="微软雅黑" w:hAnsi="微软雅黑"/>
          <w:b/>
          <w:sz w:val="52"/>
          <w:szCs w:val="52"/>
        </w:rPr>
        <w:endnoteReference w:id="2"/>
      </w:r>
    </w:p>
    <w:p w:rsidR="00907C37" w:rsidRPr="00D45DBA" w:rsidRDefault="00907C37" w:rsidP="00D45DBA">
      <w:pPr>
        <w:ind w:firstLineChars="200" w:firstLine="600"/>
        <w:rPr>
          <w:rFonts w:ascii="微软雅黑" w:eastAsia="微软雅黑" w:hAnsi="微软雅黑"/>
          <w:sz w:val="30"/>
          <w:szCs w:val="30"/>
        </w:rPr>
      </w:pPr>
      <w:commentRangeStart w:id="0"/>
      <w:r w:rsidRPr="00D45DBA">
        <w:rPr>
          <w:rFonts w:ascii="微软雅黑" w:eastAsia="微软雅黑" w:hAnsi="微软雅黑" w:hint="eastAsia"/>
          <w:sz w:val="30"/>
          <w:szCs w:val="30"/>
        </w:rPr>
        <w:t>资本充足率</w:t>
      </w:r>
      <w:commentRangeEnd w:id="0"/>
      <w:r w:rsidR="00D45DBA">
        <w:rPr>
          <w:rStyle w:val="aa"/>
        </w:rPr>
        <w:commentReference w:id="0"/>
      </w:r>
      <w:r w:rsidRPr="00D45DBA">
        <w:rPr>
          <w:rFonts w:ascii="微软雅黑" w:eastAsia="微软雅黑" w:hAnsi="微软雅黑" w:hint="eastAsia"/>
          <w:sz w:val="30"/>
          <w:szCs w:val="30"/>
        </w:rPr>
        <w:t>:银行监管当局必须制定反映银行多种风险的审慎且合适的最低资本充足率规定。至</w:t>
      </w:r>
      <w:bookmarkStart w:id="1" w:name="_GoBack"/>
      <w:bookmarkEnd w:id="1"/>
      <w:r w:rsidRPr="00D45DBA">
        <w:rPr>
          <w:rFonts w:ascii="微软雅黑" w:eastAsia="微软雅黑" w:hAnsi="微软雅黑" w:hint="eastAsia"/>
          <w:sz w:val="30"/>
          <w:szCs w:val="30"/>
        </w:rPr>
        <w:t>少对于国际活跃银行而言，资本充足率的规定不应低于巴塞尔的相关要求。</w:t>
      </w:r>
    </w:p>
    <w:p w:rsidR="00907C37" w:rsidRDefault="00907C37" w:rsidP="00D45DBA">
      <w:pPr>
        <w:ind w:firstLineChars="200" w:firstLine="600"/>
        <w:rPr>
          <w:rFonts w:ascii="微软雅黑" w:eastAsia="微软雅黑" w:hAnsi="微软雅黑"/>
          <w:sz w:val="30"/>
          <w:szCs w:val="30"/>
        </w:rPr>
      </w:pPr>
      <w:r w:rsidRPr="00D45DBA">
        <w:rPr>
          <w:rFonts w:ascii="微软雅黑" w:eastAsia="微软雅黑" w:hAnsi="微软雅黑" w:hint="eastAsia"/>
          <w:sz w:val="30"/>
          <w:szCs w:val="30"/>
        </w:rPr>
        <w:t>风险</w:t>
      </w:r>
      <w:r w:rsidRPr="00620287">
        <w:rPr>
          <w:rFonts w:ascii="微软雅黑" w:eastAsia="微软雅黑" w:hAnsi="微软雅黑" w:hint="eastAsia"/>
          <w:sz w:val="30"/>
          <w:szCs w:val="30"/>
        </w:rPr>
        <w:t>管理</w:t>
      </w:r>
      <w:r w:rsidRPr="00D45DBA">
        <w:rPr>
          <w:rFonts w:ascii="微软雅黑" w:eastAsia="微软雅黑" w:hAnsi="微软雅黑" w:hint="eastAsia"/>
          <w:sz w:val="30"/>
          <w:szCs w:val="30"/>
        </w:rPr>
        <w:t>程序:银行监管当局必须满意地看到，银行和银行集团建立了与其规模及复杂程度相匹配的综合的风险管理程序（包括董事和高级管理层的监督），以识别、评价、监测、控制或缓解各项重大的风险，并根据自身风险的大小评估总体的资本充足率。</w:t>
      </w:r>
    </w:p>
    <w:p w:rsidR="00D45DBA" w:rsidRPr="00D45DBA" w:rsidRDefault="00495092" w:rsidP="00D45DBA">
      <w:pPr>
        <w:rPr>
          <w:rFonts w:ascii="微软雅黑" w:eastAsia="微软雅黑" w:hAnsi="微软雅黑"/>
          <w:sz w:val="30"/>
          <w:szCs w:val="30"/>
        </w:rPr>
      </w:pPr>
      <w:r>
        <w:rPr>
          <w:noProof/>
        </w:rPr>
        <w:drawing>
          <wp:inline distT="0" distB="0" distL="0" distR="0">
            <wp:extent cx="5278755" cy="3127375"/>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3127375"/>
                    </a:xfrm>
                    <a:prstGeom prst="rect">
                      <a:avLst/>
                    </a:prstGeom>
                    <a:noFill/>
                    <a:ln>
                      <a:noFill/>
                    </a:ln>
                  </pic:spPr>
                </pic:pic>
              </a:graphicData>
            </a:graphic>
          </wp:inline>
        </w:drawing>
      </w:r>
    </w:p>
    <w:sectPr w:rsidR="00D45DBA" w:rsidRPr="00D45DBA" w:rsidSect="00076ED7">
      <w:headerReference w:type="default" r:id="rId12"/>
      <w:footerReference w:type="default" r:id="rId13"/>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C" w:date="2020-07-30T17:09:00Z" w:initials="P">
    <w:p w:rsidR="00D45DBA" w:rsidRDefault="00D45DBA">
      <w:pPr>
        <w:pStyle w:val="ab"/>
      </w:pPr>
      <w:r>
        <w:rPr>
          <w:rStyle w:val="aa"/>
        </w:rPr>
        <w:annotationRef/>
      </w:r>
      <w:r w:rsidRPr="00D45DBA">
        <w:rPr>
          <w:rFonts w:hint="eastAsia"/>
        </w:rPr>
        <w:t>提高银行资本基础的质量、一致性和透明度。这将确保大型国际活跃银行同时增强在持续经营条件下和清算条件下吸收损失的能力。</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ED7" w:rsidRDefault="00076ED7" w:rsidP="00076ED7">
      <w:r>
        <w:separator/>
      </w:r>
    </w:p>
  </w:endnote>
  <w:endnote w:type="continuationSeparator" w:id="0">
    <w:p w:rsidR="00076ED7" w:rsidRDefault="00076ED7" w:rsidP="00076ED7">
      <w:r>
        <w:continuationSeparator/>
      </w:r>
    </w:p>
  </w:endnote>
  <w:endnote w:id="1">
    <w:p w:rsidR="00D45DBA" w:rsidRPr="00D45DBA" w:rsidRDefault="00D45DBA">
      <w:pPr>
        <w:pStyle w:val="a8"/>
      </w:pPr>
      <w:r>
        <w:rPr>
          <w:rStyle w:val="a9"/>
        </w:rPr>
        <w:endnoteRef/>
      </w:r>
      <w:r>
        <w:t xml:space="preserve"> </w:t>
      </w:r>
      <w:r>
        <w:rPr>
          <w:rFonts w:hint="eastAsia"/>
        </w:rPr>
        <w:t>尾注</w:t>
      </w:r>
      <w:r>
        <w:rPr>
          <w:rFonts w:hint="eastAsia"/>
        </w:rPr>
        <w:t>1</w:t>
      </w:r>
      <w:r>
        <w:rPr>
          <w:rFonts w:hint="eastAsia"/>
        </w:rPr>
        <w:t>：巴塞尔协议英文稿</w:t>
      </w:r>
    </w:p>
  </w:endnote>
  <w:endnote w:id="2">
    <w:p w:rsidR="00D45DBA" w:rsidRDefault="00D45DBA">
      <w:pPr>
        <w:pStyle w:val="a8"/>
      </w:pPr>
      <w:r>
        <w:rPr>
          <w:rStyle w:val="a9"/>
        </w:rPr>
        <w:endnoteRef/>
      </w:r>
      <w:r>
        <w:t xml:space="preserve"> </w:t>
      </w:r>
      <w:r>
        <w:rPr>
          <w:rFonts w:hint="eastAsia"/>
        </w:rPr>
        <w:t>尾注</w:t>
      </w:r>
      <w:r>
        <w:rPr>
          <w:rFonts w:hint="eastAsia"/>
        </w:rPr>
        <w:t>2</w:t>
      </w:r>
      <w:r>
        <w:rPr>
          <w:rFonts w:hint="eastAsia"/>
        </w:rPr>
        <w:t>：巴塞尔协议翻译稿</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ED7" w:rsidRPr="00076ED7" w:rsidRDefault="008D49D7" w:rsidP="008D49D7">
    <w:pPr>
      <w:pStyle w:val="a4"/>
      <w:rPr>
        <w:rFonts w:ascii="微软雅黑" w:eastAsia="微软雅黑" w:hAnsi="微软雅黑"/>
        <w:b/>
        <w:sz w:val="44"/>
        <w:szCs w:val="44"/>
      </w:rPr>
    </w:pPr>
    <w:r>
      <w:rPr>
        <w:rFonts w:ascii="微软雅黑" w:eastAsia="微软雅黑" w:hAnsi="微软雅黑"/>
        <w:b/>
        <w:sz w:val="44"/>
        <w:szCs w:val="44"/>
      </w:rPr>
      <w:tab/>
    </w:r>
    <w:r w:rsidR="00076ED7" w:rsidRPr="00076ED7">
      <w:rPr>
        <w:rFonts w:ascii="微软雅黑" w:eastAsia="微软雅黑" w:hAnsi="微软雅黑" w:hint="eastAsia"/>
        <w:b/>
        <w:sz w:val="44"/>
        <w:szCs w:val="44"/>
      </w:rPr>
      <w:t>第</w:t>
    </w:r>
    <w:r>
      <w:rPr>
        <w:rFonts w:ascii="微软雅黑" w:eastAsia="微软雅黑" w:hAnsi="微软雅黑" w:hint="eastAsia"/>
        <w:b/>
        <w:sz w:val="44"/>
        <w:szCs w:val="44"/>
      </w:rPr>
      <w:t>1</w:t>
    </w:r>
    <w:r w:rsidR="00076ED7" w:rsidRPr="00076ED7">
      <w:rPr>
        <w:rFonts w:ascii="微软雅黑" w:eastAsia="微软雅黑" w:hAnsi="微软雅黑" w:hint="eastAsia"/>
        <w:b/>
        <w:sz w:val="44"/>
        <w:szCs w:val="44"/>
      </w:rPr>
      <w:t>节页脚</w:t>
    </w:r>
    <w:r>
      <w:rPr>
        <w:rFonts w:ascii="微软雅黑" w:eastAsia="微软雅黑" w:hAnsi="微软雅黑"/>
        <w:b/>
        <w:sz w:val="44"/>
        <w:szCs w:val="44"/>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9D7" w:rsidRPr="00076ED7" w:rsidRDefault="008D49D7" w:rsidP="008D49D7">
    <w:pPr>
      <w:pStyle w:val="a4"/>
      <w:rPr>
        <w:rFonts w:ascii="微软雅黑" w:eastAsia="微软雅黑" w:hAnsi="微软雅黑"/>
        <w:b/>
        <w:sz w:val="44"/>
        <w:szCs w:val="44"/>
      </w:rPr>
    </w:pPr>
    <w:r>
      <w:rPr>
        <w:rFonts w:ascii="微软雅黑" w:eastAsia="微软雅黑" w:hAnsi="微软雅黑"/>
        <w:b/>
        <w:sz w:val="44"/>
        <w:szCs w:val="44"/>
      </w:rPr>
      <w:tab/>
    </w:r>
    <w:r w:rsidRPr="00076ED7">
      <w:rPr>
        <w:rFonts w:ascii="微软雅黑" w:eastAsia="微软雅黑" w:hAnsi="微软雅黑" w:hint="eastAsia"/>
        <w:b/>
        <w:sz w:val="44"/>
        <w:szCs w:val="44"/>
      </w:rPr>
      <w:t>第</w:t>
    </w:r>
    <w:r>
      <w:rPr>
        <w:rFonts w:ascii="微软雅黑" w:eastAsia="微软雅黑" w:hAnsi="微软雅黑" w:hint="eastAsia"/>
        <w:b/>
        <w:sz w:val="44"/>
        <w:szCs w:val="44"/>
      </w:rPr>
      <w:t>2</w:t>
    </w:r>
    <w:r w:rsidRPr="00076ED7">
      <w:rPr>
        <w:rFonts w:ascii="微软雅黑" w:eastAsia="微软雅黑" w:hAnsi="微软雅黑" w:hint="eastAsia"/>
        <w:b/>
        <w:sz w:val="44"/>
        <w:szCs w:val="44"/>
      </w:rPr>
      <w:t>节页脚</w:t>
    </w:r>
    <w:r>
      <w:rPr>
        <w:rFonts w:ascii="微软雅黑" w:eastAsia="微软雅黑" w:hAnsi="微软雅黑"/>
        <w:b/>
        <w:sz w:val="44"/>
        <w:szCs w:val="4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ED7" w:rsidRDefault="00076ED7" w:rsidP="00076ED7">
      <w:r>
        <w:separator/>
      </w:r>
    </w:p>
  </w:footnote>
  <w:footnote w:type="continuationSeparator" w:id="0">
    <w:p w:rsidR="00076ED7" w:rsidRDefault="00076ED7" w:rsidP="00076ED7">
      <w:r>
        <w:continuationSeparator/>
      </w:r>
    </w:p>
  </w:footnote>
  <w:footnote w:id="1">
    <w:p w:rsidR="004C43E4" w:rsidRDefault="004C43E4">
      <w:pPr>
        <w:pStyle w:val="a5"/>
      </w:pPr>
      <w:r>
        <w:rPr>
          <w:rStyle w:val="a6"/>
        </w:rPr>
        <w:footnoteRef/>
      </w:r>
      <w:r>
        <w:t xml:space="preserve"> </w:t>
      </w:r>
      <w:r w:rsidR="00D45DBA">
        <w:rPr>
          <w:rFonts w:hint="eastAsia"/>
        </w:rPr>
        <w:t>来自</w:t>
      </w:r>
      <w:r>
        <w:rPr>
          <w:rFonts w:hint="eastAsia"/>
        </w:rPr>
        <w:t>巴塞尔协议文档</w:t>
      </w:r>
    </w:p>
  </w:footnote>
  <w:footnote w:id="2">
    <w:p w:rsidR="00D45DBA" w:rsidRDefault="00D45DBA">
      <w:pPr>
        <w:pStyle w:val="a5"/>
      </w:pPr>
      <w:r>
        <w:rPr>
          <w:rStyle w:val="a6"/>
        </w:rPr>
        <w:footnoteRef/>
      </w:r>
      <w:r>
        <w:t xml:space="preserve"> </w:t>
      </w:r>
      <w:r>
        <w:rPr>
          <w:rFonts w:hint="eastAsia"/>
        </w:rPr>
        <w:t>节选自巴塞尔协议翻译稿</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ED7" w:rsidRPr="00076ED7" w:rsidRDefault="00495092" w:rsidP="00076ED7">
    <w:pPr>
      <w:pStyle w:val="a4"/>
      <w:jc w:val="center"/>
      <w:rPr>
        <w:rFonts w:ascii="微软雅黑" w:eastAsia="微软雅黑" w:hAnsi="微软雅黑"/>
        <w:b/>
        <w:sz w:val="44"/>
        <w:szCs w:val="44"/>
      </w:rPr>
    </w:pPr>
    <w:r>
      <w:rPr>
        <w:noProof/>
      </w:rPr>
      <mc:AlternateContent>
        <mc:Choice Requires="wps">
          <w:drawing>
            <wp:anchor distT="0" distB="0" distL="114300" distR="114300" simplePos="0" relativeHeight="251659264" behindDoc="0" locked="0" layoutInCell="1" allowOverlap="1">
              <wp:simplePos x="0" y="0"/>
              <wp:positionH relativeFrom="column">
                <wp:posOffset>4904740</wp:posOffset>
              </wp:positionH>
              <wp:positionV relativeFrom="paragraph">
                <wp:posOffset>-249555</wp:posOffset>
              </wp:positionV>
              <wp:extent cx="1506855" cy="519430"/>
              <wp:effectExtent l="0" t="0" r="17145" b="13970"/>
              <wp:wrapNone/>
              <wp:docPr id="5"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6855" cy="519430"/>
                      </a:xfrm>
                      <a:prstGeom prst="rect">
                        <a:avLst/>
                      </a:prstGeom>
                      <a:solidFill>
                        <a:sysClr val="window" lastClr="FFFFFF"/>
                      </a:solidFill>
                      <a:ln w="6350">
                        <a:solidFill>
                          <a:prstClr val="black"/>
                        </a:solidFill>
                      </a:ln>
                      <a:effectLst/>
                    </wps:spPr>
                    <wps:txbx>
                      <w:txbxContent>
                        <w:p w:rsidR="004C43E4" w:rsidRPr="004C43E4" w:rsidRDefault="004C43E4">
                          <w:pPr>
                            <w:rPr>
                              <w:rFonts w:ascii="微软雅黑" w:eastAsia="微软雅黑" w:hAnsi="微软雅黑"/>
                              <w:b/>
                              <w:sz w:val="44"/>
                              <w:szCs w:val="44"/>
                            </w:rPr>
                          </w:pPr>
                          <w:r w:rsidRPr="004C43E4">
                            <w:rPr>
                              <w:rFonts w:ascii="微软雅黑" w:eastAsia="微软雅黑" w:hAnsi="微软雅黑" w:hint="eastAsia"/>
                              <w:b/>
                              <w:sz w:val="44"/>
                              <w:szCs w:val="44"/>
                            </w:rPr>
                            <w:t>学习资料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8" type="#_x0000_t202" style="position:absolute;left:0;text-align:left;margin-left:386.2pt;margin-top:-19.65pt;width:118.65pt;height: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" fillcolor="window" strokeweight=".5pt">
              <v:path arrowok="t"/>
              <v:textbox>
                <w:txbxContent>
                  <w:p w:rsidR="004C43E4" w:rsidRPr="004C43E4" w:rsidRDefault="004C43E4">
                    <w:pPr>
                      <w:rPr>
                        <w:rFonts w:ascii="微软雅黑" w:eastAsia="微软雅黑" w:hAnsi="微软雅黑"/>
                        <w:b/>
                        <w:sz w:val="44"/>
                        <w:szCs w:val="44"/>
                      </w:rPr>
                    </w:pPr>
                    <w:r w:rsidRPr="004C43E4">
                      <w:rPr>
                        <w:rFonts w:ascii="微软雅黑" w:eastAsia="微软雅黑" w:hAnsi="微软雅黑" w:hint="eastAsia"/>
                        <w:b/>
                        <w:sz w:val="44"/>
                        <w:szCs w:val="44"/>
                      </w:rPr>
                      <w:t>学习资料</w:t>
                    </w:r>
                  </w:p>
                </w:txbxContent>
              </v:textbox>
            </v:shape>
          </w:pict>
        </mc:Fallback>
      </mc:AlternateContent>
    </w:r>
    <w:r w:rsidR="00076ED7" w:rsidRPr="00076ED7">
      <w:rPr>
        <w:rFonts w:ascii="微软雅黑" w:eastAsia="微软雅黑" w:hAnsi="微软雅黑" w:hint="eastAsia"/>
        <w:b/>
        <w:sz w:val="44"/>
        <w:szCs w:val="44"/>
      </w:rPr>
      <w:t>第1节页</w:t>
    </w:r>
    <w:r w:rsidR="00076ED7">
      <w:rPr>
        <w:rFonts w:ascii="微软雅黑" w:eastAsia="微软雅黑" w:hAnsi="微软雅黑" w:hint="eastAsia"/>
        <w:b/>
        <w:sz w:val="44"/>
        <w:szCs w:val="44"/>
      </w:rPr>
      <w:t>眉</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9D7" w:rsidRPr="00076ED7" w:rsidRDefault="008D49D7" w:rsidP="00076ED7">
    <w:pPr>
      <w:pStyle w:val="a4"/>
      <w:jc w:val="center"/>
      <w:rPr>
        <w:rFonts w:ascii="微软雅黑" w:eastAsia="微软雅黑" w:hAnsi="微软雅黑"/>
        <w:b/>
        <w:sz w:val="44"/>
        <w:szCs w:val="44"/>
      </w:rPr>
    </w:pPr>
    <w:r w:rsidRPr="00076ED7">
      <w:rPr>
        <w:rFonts w:ascii="微软雅黑" w:eastAsia="微软雅黑" w:hAnsi="微软雅黑" w:hint="eastAsia"/>
        <w:b/>
        <w:sz w:val="44"/>
        <w:szCs w:val="44"/>
      </w:rPr>
      <w:t>第</w:t>
    </w:r>
    <w:r>
      <w:rPr>
        <w:rFonts w:ascii="微软雅黑" w:eastAsia="微软雅黑" w:hAnsi="微软雅黑" w:hint="eastAsia"/>
        <w:b/>
        <w:sz w:val="44"/>
        <w:szCs w:val="44"/>
      </w:rPr>
      <w:t>2</w:t>
    </w:r>
    <w:r w:rsidRPr="00076ED7">
      <w:rPr>
        <w:rFonts w:ascii="微软雅黑" w:eastAsia="微软雅黑" w:hAnsi="微软雅黑" w:hint="eastAsia"/>
        <w:b/>
        <w:sz w:val="44"/>
        <w:szCs w:val="44"/>
      </w:rPr>
      <w:t>节页</w:t>
    </w:r>
    <w:r>
      <w:rPr>
        <w:rFonts w:ascii="微软雅黑" w:eastAsia="微软雅黑" w:hAnsi="微软雅黑" w:hint="eastAsia"/>
        <w:b/>
        <w:sz w:val="44"/>
        <w:szCs w:val="44"/>
      </w:rPr>
      <w:t>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779"/>
    <w:rsid w:val="00076ED7"/>
    <w:rsid w:val="000C4C7D"/>
    <w:rsid w:val="000E40CA"/>
    <w:rsid w:val="00495092"/>
    <w:rsid w:val="004C43E4"/>
    <w:rsid w:val="004D7FB5"/>
    <w:rsid w:val="00567E41"/>
    <w:rsid w:val="00573105"/>
    <w:rsid w:val="00597C40"/>
    <w:rsid w:val="00620287"/>
    <w:rsid w:val="006D7D74"/>
    <w:rsid w:val="0070371B"/>
    <w:rsid w:val="00822A4C"/>
    <w:rsid w:val="008D49D7"/>
    <w:rsid w:val="00907C37"/>
    <w:rsid w:val="00961ED0"/>
    <w:rsid w:val="0097766C"/>
    <w:rsid w:val="00AB5779"/>
    <w:rsid w:val="00D45DBA"/>
    <w:rsid w:val="00D6070F"/>
    <w:rsid w:val="00DC61DC"/>
    <w:rsid w:val="00DE2D71"/>
    <w:rsid w:val="00F13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ED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76ED7"/>
    <w:rPr>
      <w:sz w:val="18"/>
      <w:szCs w:val="18"/>
    </w:rPr>
  </w:style>
  <w:style w:type="paragraph" w:styleId="a4">
    <w:name w:val="footer"/>
    <w:basedOn w:val="a"/>
    <w:link w:val="Char0"/>
    <w:uiPriority w:val="99"/>
    <w:unhideWhenUsed/>
    <w:rsid w:val="00076ED7"/>
    <w:pPr>
      <w:tabs>
        <w:tab w:val="center" w:pos="4153"/>
        <w:tab w:val="right" w:pos="8306"/>
      </w:tabs>
      <w:snapToGrid w:val="0"/>
      <w:jc w:val="left"/>
    </w:pPr>
    <w:rPr>
      <w:sz w:val="18"/>
      <w:szCs w:val="18"/>
    </w:rPr>
  </w:style>
  <w:style w:type="character" w:customStyle="1" w:styleId="Char0">
    <w:name w:val="页脚 Char"/>
    <w:link w:val="a4"/>
    <w:uiPriority w:val="99"/>
    <w:rsid w:val="00076ED7"/>
    <w:rPr>
      <w:sz w:val="18"/>
      <w:szCs w:val="18"/>
    </w:rPr>
  </w:style>
  <w:style w:type="paragraph" w:styleId="a5">
    <w:name w:val="footnote text"/>
    <w:basedOn w:val="a"/>
    <w:link w:val="Char1"/>
    <w:uiPriority w:val="99"/>
    <w:semiHidden/>
    <w:unhideWhenUsed/>
    <w:rsid w:val="004C43E4"/>
    <w:pPr>
      <w:snapToGrid w:val="0"/>
      <w:jc w:val="left"/>
    </w:pPr>
    <w:rPr>
      <w:sz w:val="18"/>
      <w:szCs w:val="18"/>
    </w:rPr>
  </w:style>
  <w:style w:type="character" w:customStyle="1" w:styleId="Char1">
    <w:name w:val="脚注文本 Char"/>
    <w:link w:val="a5"/>
    <w:uiPriority w:val="99"/>
    <w:semiHidden/>
    <w:rsid w:val="004C43E4"/>
    <w:rPr>
      <w:sz w:val="18"/>
      <w:szCs w:val="18"/>
    </w:rPr>
  </w:style>
  <w:style w:type="character" w:styleId="a6">
    <w:name w:val="footnote reference"/>
    <w:uiPriority w:val="99"/>
    <w:semiHidden/>
    <w:unhideWhenUsed/>
    <w:rsid w:val="004C43E4"/>
    <w:rPr>
      <w:vertAlign w:val="superscript"/>
    </w:rPr>
  </w:style>
  <w:style w:type="table" w:styleId="a7">
    <w:name w:val="Table Grid"/>
    <w:basedOn w:val="a1"/>
    <w:uiPriority w:val="59"/>
    <w:rsid w:val="004C4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sid w:val="004C43E4"/>
    <w:rPr>
      <w:rFonts w:ascii="宋体" w:eastAsia="宋体" w:hAnsi="宋体" w:hint="eastAsia"/>
      <w:b w:val="0"/>
      <w:bCs w:val="0"/>
      <w:i w:val="0"/>
      <w:iCs w:val="0"/>
      <w:color w:val="000000"/>
      <w:sz w:val="22"/>
      <w:szCs w:val="22"/>
    </w:rPr>
  </w:style>
  <w:style w:type="character" w:customStyle="1" w:styleId="fontstyle21">
    <w:name w:val="fontstyle21"/>
    <w:rsid w:val="004C43E4"/>
    <w:rPr>
      <w:rFonts w:ascii="宋体" w:eastAsia="宋体" w:hAnsi="宋体" w:hint="eastAsia"/>
      <w:b w:val="0"/>
      <w:bCs w:val="0"/>
      <w:i w:val="0"/>
      <w:iCs w:val="0"/>
      <w:color w:val="000000"/>
      <w:sz w:val="22"/>
      <w:szCs w:val="22"/>
    </w:rPr>
  </w:style>
  <w:style w:type="paragraph" w:styleId="a8">
    <w:name w:val="endnote text"/>
    <w:basedOn w:val="a"/>
    <w:link w:val="Char2"/>
    <w:uiPriority w:val="99"/>
    <w:semiHidden/>
    <w:unhideWhenUsed/>
    <w:rsid w:val="00D45DBA"/>
    <w:pPr>
      <w:snapToGrid w:val="0"/>
      <w:jc w:val="left"/>
    </w:pPr>
  </w:style>
  <w:style w:type="character" w:customStyle="1" w:styleId="Char2">
    <w:name w:val="尾注文本 Char"/>
    <w:basedOn w:val="a0"/>
    <w:link w:val="a8"/>
    <w:uiPriority w:val="99"/>
    <w:semiHidden/>
    <w:rsid w:val="00D45DBA"/>
  </w:style>
  <w:style w:type="character" w:styleId="a9">
    <w:name w:val="endnote reference"/>
    <w:uiPriority w:val="99"/>
    <w:semiHidden/>
    <w:unhideWhenUsed/>
    <w:rsid w:val="00D45DBA"/>
    <w:rPr>
      <w:vertAlign w:val="superscript"/>
    </w:rPr>
  </w:style>
  <w:style w:type="character" w:styleId="aa">
    <w:name w:val="annotation reference"/>
    <w:uiPriority w:val="99"/>
    <w:semiHidden/>
    <w:unhideWhenUsed/>
    <w:rsid w:val="00D45DBA"/>
    <w:rPr>
      <w:sz w:val="21"/>
      <w:szCs w:val="21"/>
    </w:rPr>
  </w:style>
  <w:style w:type="paragraph" w:styleId="ab">
    <w:name w:val="annotation text"/>
    <w:basedOn w:val="a"/>
    <w:link w:val="Char3"/>
    <w:uiPriority w:val="99"/>
    <w:semiHidden/>
    <w:unhideWhenUsed/>
    <w:rsid w:val="00D45DBA"/>
    <w:pPr>
      <w:jc w:val="left"/>
    </w:pPr>
  </w:style>
  <w:style w:type="character" w:customStyle="1" w:styleId="Char3">
    <w:name w:val="批注文字 Char"/>
    <w:basedOn w:val="a0"/>
    <w:link w:val="ab"/>
    <w:uiPriority w:val="99"/>
    <w:semiHidden/>
    <w:rsid w:val="00D45DBA"/>
  </w:style>
  <w:style w:type="paragraph" w:styleId="ac">
    <w:name w:val="annotation subject"/>
    <w:basedOn w:val="ab"/>
    <w:next w:val="ab"/>
    <w:link w:val="Char4"/>
    <w:uiPriority w:val="99"/>
    <w:semiHidden/>
    <w:unhideWhenUsed/>
    <w:rsid w:val="00D45DBA"/>
    <w:rPr>
      <w:b/>
      <w:bCs/>
    </w:rPr>
  </w:style>
  <w:style w:type="character" w:customStyle="1" w:styleId="Char4">
    <w:name w:val="批注主题 Char"/>
    <w:link w:val="ac"/>
    <w:uiPriority w:val="99"/>
    <w:semiHidden/>
    <w:rsid w:val="00D45DBA"/>
    <w:rPr>
      <w:b/>
      <w:bCs/>
    </w:rPr>
  </w:style>
  <w:style w:type="paragraph" w:styleId="ad">
    <w:name w:val="Revision"/>
    <w:hidden/>
    <w:uiPriority w:val="99"/>
    <w:semiHidden/>
    <w:rsid w:val="00D45DBA"/>
    <w:rPr>
      <w:kern w:val="2"/>
      <w:sz w:val="21"/>
      <w:szCs w:val="22"/>
    </w:rPr>
  </w:style>
  <w:style w:type="paragraph" w:styleId="ae">
    <w:name w:val="Balloon Text"/>
    <w:basedOn w:val="a"/>
    <w:link w:val="Char5"/>
    <w:uiPriority w:val="99"/>
    <w:semiHidden/>
    <w:unhideWhenUsed/>
    <w:rsid w:val="00D45DBA"/>
    <w:rPr>
      <w:sz w:val="18"/>
      <w:szCs w:val="18"/>
    </w:rPr>
  </w:style>
  <w:style w:type="character" w:customStyle="1" w:styleId="Char5">
    <w:name w:val="批注框文本 Char"/>
    <w:link w:val="ae"/>
    <w:uiPriority w:val="99"/>
    <w:semiHidden/>
    <w:rsid w:val="00D45D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ED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76ED7"/>
    <w:rPr>
      <w:sz w:val="18"/>
      <w:szCs w:val="18"/>
    </w:rPr>
  </w:style>
  <w:style w:type="paragraph" w:styleId="a4">
    <w:name w:val="footer"/>
    <w:basedOn w:val="a"/>
    <w:link w:val="Char0"/>
    <w:uiPriority w:val="99"/>
    <w:unhideWhenUsed/>
    <w:rsid w:val="00076ED7"/>
    <w:pPr>
      <w:tabs>
        <w:tab w:val="center" w:pos="4153"/>
        <w:tab w:val="right" w:pos="8306"/>
      </w:tabs>
      <w:snapToGrid w:val="0"/>
      <w:jc w:val="left"/>
    </w:pPr>
    <w:rPr>
      <w:sz w:val="18"/>
      <w:szCs w:val="18"/>
    </w:rPr>
  </w:style>
  <w:style w:type="character" w:customStyle="1" w:styleId="Char0">
    <w:name w:val="页脚 Char"/>
    <w:link w:val="a4"/>
    <w:uiPriority w:val="99"/>
    <w:rsid w:val="00076ED7"/>
    <w:rPr>
      <w:sz w:val="18"/>
      <w:szCs w:val="18"/>
    </w:rPr>
  </w:style>
  <w:style w:type="paragraph" w:styleId="a5">
    <w:name w:val="footnote text"/>
    <w:basedOn w:val="a"/>
    <w:link w:val="Char1"/>
    <w:uiPriority w:val="99"/>
    <w:semiHidden/>
    <w:unhideWhenUsed/>
    <w:rsid w:val="004C43E4"/>
    <w:pPr>
      <w:snapToGrid w:val="0"/>
      <w:jc w:val="left"/>
    </w:pPr>
    <w:rPr>
      <w:sz w:val="18"/>
      <w:szCs w:val="18"/>
    </w:rPr>
  </w:style>
  <w:style w:type="character" w:customStyle="1" w:styleId="Char1">
    <w:name w:val="脚注文本 Char"/>
    <w:link w:val="a5"/>
    <w:uiPriority w:val="99"/>
    <w:semiHidden/>
    <w:rsid w:val="004C43E4"/>
    <w:rPr>
      <w:sz w:val="18"/>
      <w:szCs w:val="18"/>
    </w:rPr>
  </w:style>
  <w:style w:type="character" w:styleId="a6">
    <w:name w:val="footnote reference"/>
    <w:uiPriority w:val="99"/>
    <w:semiHidden/>
    <w:unhideWhenUsed/>
    <w:rsid w:val="004C43E4"/>
    <w:rPr>
      <w:vertAlign w:val="superscript"/>
    </w:rPr>
  </w:style>
  <w:style w:type="table" w:styleId="a7">
    <w:name w:val="Table Grid"/>
    <w:basedOn w:val="a1"/>
    <w:uiPriority w:val="59"/>
    <w:rsid w:val="004C4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sid w:val="004C43E4"/>
    <w:rPr>
      <w:rFonts w:ascii="宋体" w:eastAsia="宋体" w:hAnsi="宋体" w:hint="eastAsia"/>
      <w:b w:val="0"/>
      <w:bCs w:val="0"/>
      <w:i w:val="0"/>
      <w:iCs w:val="0"/>
      <w:color w:val="000000"/>
      <w:sz w:val="22"/>
      <w:szCs w:val="22"/>
    </w:rPr>
  </w:style>
  <w:style w:type="character" w:customStyle="1" w:styleId="fontstyle21">
    <w:name w:val="fontstyle21"/>
    <w:rsid w:val="004C43E4"/>
    <w:rPr>
      <w:rFonts w:ascii="宋体" w:eastAsia="宋体" w:hAnsi="宋体" w:hint="eastAsia"/>
      <w:b w:val="0"/>
      <w:bCs w:val="0"/>
      <w:i w:val="0"/>
      <w:iCs w:val="0"/>
      <w:color w:val="000000"/>
      <w:sz w:val="22"/>
      <w:szCs w:val="22"/>
    </w:rPr>
  </w:style>
  <w:style w:type="paragraph" w:styleId="a8">
    <w:name w:val="endnote text"/>
    <w:basedOn w:val="a"/>
    <w:link w:val="Char2"/>
    <w:uiPriority w:val="99"/>
    <w:semiHidden/>
    <w:unhideWhenUsed/>
    <w:rsid w:val="00D45DBA"/>
    <w:pPr>
      <w:snapToGrid w:val="0"/>
      <w:jc w:val="left"/>
    </w:pPr>
  </w:style>
  <w:style w:type="character" w:customStyle="1" w:styleId="Char2">
    <w:name w:val="尾注文本 Char"/>
    <w:basedOn w:val="a0"/>
    <w:link w:val="a8"/>
    <w:uiPriority w:val="99"/>
    <w:semiHidden/>
    <w:rsid w:val="00D45DBA"/>
  </w:style>
  <w:style w:type="character" w:styleId="a9">
    <w:name w:val="endnote reference"/>
    <w:uiPriority w:val="99"/>
    <w:semiHidden/>
    <w:unhideWhenUsed/>
    <w:rsid w:val="00D45DBA"/>
    <w:rPr>
      <w:vertAlign w:val="superscript"/>
    </w:rPr>
  </w:style>
  <w:style w:type="character" w:styleId="aa">
    <w:name w:val="annotation reference"/>
    <w:uiPriority w:val="99"/>
    <w:semiHidden/>
    <w:unhideWhenUsed/>
    <w:rsid w:val="00D45DBA"/>
    <w:rPr>
      <w:sz w:val="21"/>
      <w:szCs w:val="21"/>
    </w:rPr>
  </w:style>
  <w:style w:type="paragraph" w:styleId="ab">
    <w:name w:val="annotation text"/>
    <w:basedOn w:val="a"/>
    <w:link w:val="Char3"/>
    <w:uiPriority w:val="99"/>
    <w:semiHidden/>
    <w:unhideWhenUsed/>
    <w:rsid w:val="00D45DBA"/>
    <w:pPr>
      <w:jc w:val="left"/>
    </w:pPr>
  </w:style>
  <w:style w:type="character" w:customStyle="1" w:styleId="Char3">
    <w:name w:val="批注文字 Char"/>
    <w:basedOn w:val="a0"/>
    <w:link w:val="ab"/>
    <w:uiPriority w:val="99"/>
    <w:semiHidden/>
    <w:rsid w:val="00D45DBA"/>
  </w:style>
  <w:style w:type="paragraph" w:styleId="ac">
    <w:name w:val="annotation subject"/>
    <w:basedOn w:val="ab"/>
    <w:next w:val="ab"/>
    <w:link w:val="Char4"/>
    <w:uiPriority w:val="99"/>
    <w:semiHidden/>
    <w:unhideWhenUsed/>
    <w:rsid w:val="00D45DBA"/>
    <w:rPr>
      <w:b/>
      <w:bCs/>
    </w:rPr>
  </w:style>
  <w:style w:type="character" w:customStyle="1" w:styleId="Char4">
    <w:name w:val="批注主题 Char"/>
    <w:link w:val="ac"/>
    <w:uiPriority w:val="99"/>
    <w:semiHidden/>
    <w:rsid w:val="00D45DBA"/>
    <w:rPr>
      <w:b/>
      <w:bCs/>
    </w:rPr>
  </w:style>
  <w:style w:type="paragraph" w:styleId="ad">
    <w:name w:val="Revision"/>
    <w:hidden/>
    <w:uiPriority w:val="99"/>
    <w:semiHidden/>
    <w:rsid w:val="00D45DBA"/>
    <w:rPr>
      <w:kern w:val="2"/>
      <w:sz w:val="21"/>
      <w:szCs w:val="22"/>
    </w:rPr>
  </w:style>
  <w:style w:type="paragraph" w:styleId="ae">
    <w:name w:val="Balloon Text"/>
    <w:basedOn w:val="a"/>
    <w:link w:val="Char5"/>
    <w:uiPriority w:val="99"/>
    <w:semiHidden/>
    <w:unhideWhenUsed/>
    <w:rsid w:val="00D45DBA"/>
    <w:rPr>
      <w:sz w:val="18"/>
      <w:szCs w:val="18"/>
    </w:rPr>
  </w:style>
  <w:style w:type="character" w:customStyle="1" w:styleId="Char5">
    <w:name w:val="批注框文本 Char"/>
    <w:link w:val="ae"/>
    <w:uiPriority w:val="99"/>
    <w:semiHidden/>
    <w:rsid w:val="00D45D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840823">
      <w:bodyDiv w:val="1"/>
      <w:marLeft w:val="0"/>
      <w:marRight w:val="0"/>
      <w:marTop w:val="0"/>
      <w:marBottom w:val="0"/>
      <w:divBdr>
        <w:top w:val="none" w:sz="0" w:space="0" w:color="auto"/>
        <w:left w:val="none" w:sz="0" w:space="0" w:color="auto"/>
        <w:bottom w:val="none" w:sz="0" w:space="0" w:color="auto"/>
        <w:right w:val="none" w:sz="0" w:space="0" w:color="auto"/>
      </w:divBdr>
    </w:div>
    <w:div w:id="11807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54E2E-B46E-4221-AFF9-929A86E1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178</Words>
  <Characters>1015</Characters>
  <Application>Microsoft Office Word</Application>
  <DocSecurity>0</DocSecurity>
  <Lines>8</Lines>
  <Paragraphs>2</Paragraphs>
  <ScaleCrop>false</ScaleCrop>
  <Company>Microsoft</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13</cp:revision>
  <dcterms:created xsi:type="dcterms:W3CDTF">2020-07-30T09:23:00Z</dcterms:created>
  <dcterms:modified xsi:type="dcterms:W3CDTF">2020-08-03T10:18:00Z</dcterms:modified>
</cp:coreProperties>
</file>