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_Para"/>
        <w:jc w:val="center"/>
      </w:pPr>
      <w:r>
        <w:t>Normal</w:t>
      </w:r>
    </w:p>
    <w:p>
      <w:pPr>
        <w:pStyle w:val="Header"/>
      </w:pPr>
      <w:r>
        <w:t>Header</w:t>
      </w:r>
    </w:p>
    <w:p>
      <w:pPr>
        <w:pStyle w:val="Footer"/>
      </w:pPr>
      <w:r>
        <w:t>Footer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Spacing"/>
      </w:pPr>
      <w:r>
        <w:t>No Spacing</w:t>
      </w:r>
    </w:p>
    <w:p>
      <w:pPr>
        <w:pStyle w:val="Title"/>
      </w:pPr>
      <w:r>
        <w:t>Title</w:t>
      </w:r>
    </w:p>
    <w:p>
      <w:pPr>
        <w:pStyle w:val="Subtitle"/>
      </w:pPr>
      <w:r>
        <w:t>Subtitle</w:t>
      </w:r>
    </w:p>
    <w:p>
      <w:pPr>
        <w:pStyle w:val="ListParagraph"/>
      </w:pPr>
      <w:r>
        <w:t>List Paragraph</w:t>
      </w:r>
    </w:p>
    <w:p>
      <w:pPr>
        <w:pStyle w:val="BodyText"/>
      </w:pPr>
      <w:r>
        <w:t>Body Text</w:t>
      </w:r>
    </w:p>
    <w:p>
      <w:pPr>
        <w:pStyle w:val="BodyText2"/>
      </w:pPr>
      <w:r>
        <w:t>Body Text 2</w:t>
      </w:r>
    </w:p>
    <w:p>
      <w:pPr>
        <w:pStyle w:val="BodyText3"/>
      </w:pPr>
      <w:r>
        <w:t>Body Text 3</w:t>
      </w:r>
    </w:p>
    <w:p>
      <w:pPr>
        <w:pStyle w:val="List"/>
      </w:pPr>
      <w:r>
        <w:t>List</w:t>
      </w:r>
    </w:p>
    <w:p>
      <w:pPr>
        <w:pStyle w:val="List2"/>
      </w:pPr>
      <w:r>
        <w:t>List 2</w:t>
      </w:r>
    </w:p>
    <w:p>
      <w:pPr>
        <w:pStyle w:val="List3"/>
      </w:pPr>
      <w:r>
        <w:t>List 3</w:t>
      </w:r>
    </w:p>
    <w:p>
      <w:pPr>
        <w:pStyle w:val="ListBullet"/>
      </w:pPr>
      <w:r>
        <w:t>List Bullet</w:t>
      </w:r>
    </w:p>
    <w:p>
      <w:pPr>
        <w:pStyle w:val="ListBullet2"/>
      </w:pPr>
      <w:r>
        <w:t>List Bullet 2</w:t>
      </w:r>
    </w:p>
    <w:p>
      <w:pPr>
        <w:pStyle w:val="ListBullet3"/>
      </w:pPr>
      <w:r>
        <w:t>List Bullet 3</w:t>
      </w:r>
    </w:p>
    <w:p>
      <w:pPr>
        <w:pStyle w:val="ListNumber"/>
      </w:pPr>
      <w:r>
        <w:t>List Number</w:t>
      </w:r>
    </w:p>
    <w:p>
      <w:pPr>
        <w:pStyle w:val="ListNumber2"/>
      </w:pPr>
      <w:r>
        <w:t>List Number 2</w:t>
      </w:r>
    </w:p>
    <w:p>
      <w:pPr>
        <w:pStyle w:val="ListNumber3"/>
      </w:pPr>
      <w:r>
        <w:t>List Number 3</w:t>
      </w:r>
    </w:p>
    <w:p>
      <w:pPr>
        <w:pStyle w:val="ListContinue"/>
      </w:pPr>
      <w:r>
        <w:t>List Continue</w:t>
      </w:r>
    </w:p>
    <w:p>
      <w:pPr>
        <w:pStyle w:val="ListContinue2"/>
      </w:pPr>
      <w:r>
        <w:t>List Continue 2</w:t>
      </w:r>
    </w:p>
    <w:p>
      <w:pPr>
        <w:pStyle w:val="ListContinue3"/>
      </w:pPr>
      <w:r>
        <w:t>List Continue 3</w:t>
      </w:r>
    </w:p>
    <w:p>
      <w:pPr>
        <w:pStyle w:val="MacroText"/>
      </w:pPr>
      <w:r>
        <w:t>macro</w:t>
      </w:r>
    </w:p>
    <w:p>
      <w:pPr>
        <w:pStyle w:val="Quote"/>
      </w:pPr>
      <w:r>
        <w:t>Quote</w:t>
      </w:r>
    </w:p>
    <w:p>
      <w:pPr>
        <w:pStyle w:val="Caption"/>
      </w:pPr>
      <w:r>
        <w:t>Caption</w:t>
      </w:r>
    </w:p>
    <w:p>
      <w:pPr>
        <w:pStyle w:val="IntenseQuote"/>
      </w:pPr>
      <w:r>
        <w:t>Intense Quote</w:t>
      </w:r>
    </w:p>
    <w:p>
      <w:pPr>
        <w:pStyle w:val="TOCHeading"/>
      </w:pPr>
      <w:r>
        <w:t>TOC Heading</w:t>
      </w:r>
    </w:p>
    <w:p>
      <w:pPr>
        <w:pStyle w:val="s_Para"/>
      </w:pPr>
      <w:r>
        <w:br/>
        <w:t>古之学者必有师。师者，所以传道受业解惑也。人非生而知之者，孰能无惑？惑而不从师，其为惑也，终不解矣。生乎吾前，其闻道也固先乎吾，吾从而师之；生乎吾后，其闻道也亦先乎吾，吾从而师之。吾师道也，夫庸知其年之先后生于吾乎？是故无贵无贱，无长无少，道之所存，师之所存也。</w:t>
      </w:r>
    </w:p>
    <w:p>
      <w:pPr>
        <w:pStyle w:val="s_Para"/>
      </w:pPr>
      <w:r>
        <w:br/>
        <w:t>嗟乎！师道之不传也久矣！欲人之无惑也难矣！古之圣人，其出人也远矣，犹且从师而问焉；今之众人，其下圣人也亦远矣，而耻学于师。是故圣益圣，愚益愚。圣人之所以为圣，愚人之所以为愚，其皆出于此乎？爱其子，择师而教之；于其身也，则耻师焉，惑矣。彼童子之师，授之书而习其句读者，非吾所谓传其道解其惑者也。句读之不知，惑之不解，或师焉，或不焉，小学而大遗，吾未见其明也。巫医乐师百工之人，不耻相师。士大夫之族，曰师曰弟子云者，则群聚而笑之。问之，则曰：“彼与彼年相若也，道相似也。位卑则足羞，官盛则近谀。”呜呼！师道之不复可知矣。巫医乐师百工之人，君子不齿，今其智乃反不能及，其可怪也欤！</w:t>
      </w:r>
    </w:p>
    <w:p>
      <w:pPr>
        <w:pStyle w:val="s_Para"/>
      </w:pPr>
      <w:r>
        <w:br/>
        <w:t>圣人无常师。孔子师郯子、苌弘、师襄、老聃。郯子之徒，其贤不及孔子。孔子曰：三人行，则必有我师。是故弟子不必不如师，师不必贤于弟子，闻道有先后，术业有专攻，如是而已。</w:t>
      </w:r>
    </w:p>
    <w:p>
      <w:pPr>
        <w:pStyle w:val="s_Para"/>
      </w:pPr>
      <w:r>
        <w:br/>
        <w:t>李氏子蟠，年十七，好古文，六艺经传皆通习之，不拘于时，学于余。余嘉其能行古道，作《师说》以贻之。</w:t>
      </w:r>
    </w:p>
    <w:p>
      <w:pPr>
        <w:pStyle w:val="s_Para"/>
      </w:pPr>
      <w:r>
        <w:br/>
        <w:t>古之学者必有师。师者，所以传道受业解惑也。人非生而知之者，孰能无惑？惑而不从师，其为惑也，终不解矣。</w:t>
      </w:r>
    </w:p>
    <w:p>
      <w:pPr>
        <w:pStyle w:val="s_Para"/>
      </w:pPr>
      <w:r>
        <w:br/>
        <w:t>圣人无常师。孔子师郯子、苌弘、师襄、老聃。郯子之徒，其贤不及孔子。孔子曰：三人行，则必有我师。</w:t>
      </w:r>
    </w:p>
    <w:p>
      <w:pPr>
        <w:pStyle w:val="s_Para"/>
      </w:pPr>
      <w:r>
        <w:br/>
        <w:t>古之学者必有师。师者，所以传道受业解惑也。人非生而知之者，孰能无惑？惑而不从师，其为惑也，终不解矣。</w:t>
      </w:r>
    </w:p>
    <w:p>
      <w:pPr>
        <w:pStyle w:val="s_Para"/>
      </w:pPr>
      <w:r>
        <w:br/>
        <w:t>圣人无常师。孔子师郯子、苌弘、师襄、老聃。郯子之徒，其贤不及孔子。孔子曰：三人行，则必有我师。</w:t>
      </w:r>
    </w:p>
    <w:p>
      <w:pPr>
        <w:pStyle w:val="s_Para"/>
      </w:pPr>
      <w:r>
        <w:br/>
        <w:t>古之学者必有师。师者，所以传道受业解惑也。人非生而知之者，孰能无惑？惑而不从师，其为惑也，终不解矣。</w:t>
      </w:r>
    </w:p>
    <w:p>
      <w:pPr>
        <w:pStyle w:val="s_Para"/>
      </w:pPr>
      <w:r>
        <w:br/>
        <w:t>圣人无常师。孔子师郯子、苌弘、师襄、老聃。郯子之徒，其贤不及孔子。孔子曰：三人行，则必有我师。</w:t>
      </w:r>
    </w:p>
    <w:p>
      <w:pPr>
        <w:pStyle w:val="s_Para"/>
      </w:pPr>
      <w:r>
        <w:t>古之学者必有师。师者，所以传道受业解惑也。人非生而知之者，孰能无惑？惑而不从师，其为惑也，终不解矣。</w:t>
      </w:r>
    </w:p>
    <w:p>
      <w:pPr>
        <w:pStyle w:val="s_Para"/>
      </w:pPr>
      <w:r>
        <w:t>圣人无常师。孔子师郯子、苌弘、师襄、老聃。郯子之徒，其贤不及孔子。孔子曰：三人行，则必有我师。</w:t>
      </w:r>
    </w:p>
    <w:p>
      <w:pPr>
        <w:pStyle w:val="s_Para"/>
      </w:pPr>
      <w:r>
        <w:t>古之学者必有师。师者，所以传道受业解惑也。人非生而知之者，孰能无惑？惑而不从师，其为惑也，终不解矣。</w:t>
      </w:r>
    </w:p>
    <w:p>
      <w:pPr>
        <w:pStyle w:val="s_Para"/>
      </w:pPr>
      <w:r>
        <w:t>圣人无常师。孔子师郯子、苌弘、师襄、老聃。郯子之徒，其贤不及孔子。孔子曰：三人行，则必有我师。</w:t>
      </w:r>
    </w:p>
    <w:p>
      <w:pPr>
        <w:pStyle w:val="s_Para"/>
      </w:pPr>
      <w:r>
        <w:t>替换文字，保留段落格式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_Para">
    <w:name w:val="s_Para"/>
    <w:pPr>
      <w:keepNext/>
      <w:keepLines/>
      <w:pageBreakBefore w:val="0"/>
      <w:widowControl/>
      <w:spacing w:before="360" w:after="240" w:lineRule="exact" w:line="560"/>
      <w:ind w:left="0" w:right="0" w:firstLine="720"/>
      <w:jc w:val="left"/>
    </w:pPr>
    <w:rPr>
      <w:rFonts w:ascii="Times New Roman" w:hAnsi="Times New Roman" w:eastAsia="微软雅黑"/>
      <w:b/>
      <w:i/>
      <w:color w:val="000000"/>
      <w:sz w:val="56"/>
    </w:rPr>
  </w:style>
  <w:style w:type="character" w:customStyle="1" w:styleId="s_Char">
    <w:name w:val="s_Char"/>
    <w:rPr>
      <w:rFonts w:ascii="微软雅黑" w:hAnsi="微软雅黑" w:eastAsia="楷体"/>
      <w:color w:val="FF0000"/>
      <w:sz w:val="6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