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0"/>
        </w:rPr>
      </w:pPr>
      <w:bookmarkStart w:id="0" w:name="_Hlk50567234"/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color w:val="000000"/>
          <w:sz w:val="30"/>
        </w:rPr>
      </w:pPr>
    </w:p>
    <w:p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编号：{{ 报告编号 }}</w:t>
      </w:r>
      <w:r>
        <w:rPr>
          <w:rFonts w:ascii="方正小标宋_GBK" w:eastAsia="方正小标宋_GBK"/>
          <w:szCs w:val="22"/>
        </w:rPr>
        <w:t xml:space="preserve"> 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：{{ 委托单位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：{{ 制造单位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：{{ 样品名称 }}</w:t>
      </w:r>
      <w:r>
        <w:rPr>
          <w:color w:val="000000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>{{ 型号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电话：0475-8538920                                  邮编：028000</w:t>
      </w:r>
      <w:bookmarkEnd w:id="0"/>
    </w:p>
    <w:p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t>注 意 事 项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 xml:space="preserve">报告若有异议，应于报告收到之日起十五日 </w:t>
      </w:r>
    </w:p>
    <w:p>
      <w:pPr>
        <w:spacing w:line="360" w:lineRule="auto"/>
        <w:ind w:left="1123" w:firstLine="314" w:firstLineChars="9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>
      <w:pPr>
        <w:numPr>
          <w:ilvl w:val="0"/>
          <w:numId w:val="1"/>
        </w:num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eastAsia" w:ascii="黑体" w:hAnsi="黑体" w:eastAsia="黑体"/>
          <w:color w:val="000000"/>
          <w:sz w:val="32"/>
          <w:szCs w:val="32"/>
        </w:rPr>
        <w:t>。</w:t>
      </w:r>
    </w:p>
    <w:p>
      <w:p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</w:p>
    <w:p>
      <w:pPr>
        <w:spacing w:line="600" w:lineRule="exact"/>
        <w:jc w:val="center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600" w:lineRule="exact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rFonts w:hint="default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第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 共 </w:t>
      </w:r>
      <w:r>
        <w:rPr>
          <w:rFonts w:hint="default"/>
          <w:color w:val="000000"/>
          <w:sz w:val="24"/>
          <w:szCs w:val="24"/>
          <w:u w:val="single"/>
        </w:rPr>
        <w:t>9</w:t>
      </w:r>
      <w:r>
        <w:rPr>
          <w:color w:val="000000"/>
          <w:sz w:val="24"/>
          <w:szCs w:val="24"/>
          <w:u w:val="single"/>
        </w:rPr>
        <w:t xml:space="preserve"> 页</w:t>
      </w:r>
    </w:p>
    <w:tbl>
      <w:tblPr>
        <w:tblStyle w:val="15"/>
        <w:tblpPr w:leftFromText="180" w:rightFromText="180" w:vertAnchor="text" w:horzAnchor="page" w:tblpX="1096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782"/>
        <w:gridCol w:w="1860"/>
        <w:gridCol w:w="2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厂站名称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准确度等级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位置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额定一次电流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型    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{{ 型号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{{额定二次电流}}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制造单位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{{额定功率因数}}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额定负荷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极    性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计量二次绕组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温度 }}℃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湿度 }}%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检验人员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校验人员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联系地址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联系人 }} {{ 电话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外观检查、绝缘电阻测量、绕组的极性检查、基本误差测量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ind w:firstLine="480" w:firstLineChars="20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>DL∕T 1664-2016 《电能计量装置现场检验规程》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8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>
            <w:pPr>
              <w:snapToGrid w:val="0"/>
              <w:spacing w:before="120" w:beforeLines="50"/>
              <w:ind w:firstLine="48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DL∕T 1664-2016 《电能计量装置现场检验规程》对</w:t>
            </w:r>
            <w:r>
              <w:rPr>
                <w:rFonts w:hint="eastAsia"/>
                <w:szCs w:val="24"/>
              </w:rPr>
              <w:t>{{ 制造单位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样品名称 </w:t>
            </w:r>
            <w:r>
              <w:rPr>
                <w:color w:val="000000"/>
                <w:szCs w:val="24"/>
              </w:rPr>
              <w:t>}}器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>
            <w:pPr>
              <w:wordWrap w:val="0"/>
              <w:snapToGrid w:val="0"/>
              <w:spacing w:before="120" w:beforeLines="50"/>
              <w:ind w:firstLine="480" w:firstLineChars="200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>{{ 报告日期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{{ 厂站名称 }}</w:t>
            </w:r>
          </w:p>
        </w:tc>
      </w:tr>
    </w:tbl>
    <w:p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                         核验：                     签发</w:t>
      </w:r>
      <w:r>
        <w:rPr>
          <w:rFonts w:hint="eastAsia" w:ascii="宋体" w:hAnsi="宋体" w:cs="宋体"/>
          <w:color w:val="000000"/>
          <w:szCs w:val="24"/>
        </w:rPr>
        <w:t>：</w:t>
      </w:r>
    </w:p>
    <w:p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hint="eastAsia" w:ascii="宋体" w:hAnsi="宋体" w:cs="宋体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第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hint="eastAsia"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310"/>
        <w:gridCol w:w="492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exact"/>
          <w:tblHeader/>
          <w:jc w:val="center"/>
        </w:trPr>
        <w:tc>
          <w:tcPr>
            <w:tcW w:w="677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《电能计量装置现场检验规程》6.3.1标准要求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《电能计量装置现场检验规程》6.3.2标准要求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《电能计量装置现场检验规程》6.3.3标准要求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《电能计量装置现场检验规程》6.3.4标准要求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《电能计量装置现场检验规程》6.3.5标准要求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应符合DL/T 1664-2016《电能计量装置现场检验规程》6.3.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附录A、试品主要部件参数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719"/>
        <w:gridCol w:w="2018"/>
        <w:gridCol w:w="216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3" w:hRule="exact"/>
          <w:jc w:val="center"/>
        </w:trPr>
        <w:tc>
          <w:tcPr>
            <w:tcW w:w="1935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3" w:hRule="exact"/>
          <w:jc w:val="center"/>
        </w:trPr>
        <w:tc>
          <w:tcPr>
            <w:tcW w:w="1935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样品名称 }}</w:t>
            </w:r>
          </w:p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型号 }}</w:t>
            </w:r>
          </w:p>
        </w:tc>
        <w:tc>
          <w:tcPr>
            <w:tcW w:w="1719" w:type="dxa"/>
            <w:vMerge w:val="restart"/>
            <w:vAlign w:val="center"/>
          </w:tcPr>
          <w:p>
            <w:pPr>
              <w:adjustRightInd/>
              <w:snapToGrid w:val="0"/>
              <w:spacing w:line="240" w:lineRule="auto"/>
              <w:ind w:right="-141" w:rightChars="-59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1" w:hRule="exact"/>
          <w:jc w:val="center"/>
        </w:trPr>
        <w:tc>
          <w:tcPr>
            <w:tcW w:w="1935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>{{ 电流比 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{{ 准确度等级 }}</w:t>
            </w:r>
          </w:p>
        </w:tc>
        <w:tc>
          <w:tcPr>
            <w:tcW w:w="217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>{{ 生产日期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附录B、主要检验仪器设备</w:t>
      </w:r>
    </w:p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006"/>
        <w:gridCol w:w="1613"/>
        <w:gridCol w:w="2370"/>
        <w:gridCol w:w="156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tblHeader/>
          <w:jc w:val="center"/>
        </w:trPr>
        <w:tc>
          <w:tcPr>
            <w:tcW w:w="751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仪器设备名称/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型号/规格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/准确度等级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/最大允许误差</w:t>
            </w:r>
          </w:p>
        </w:tc>
        <w:tc>
          <w:tcPr>
            <w:tcW w:w="1888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标准电流互感器/HL-71SC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</w:p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(200~10000)A/(1、5)A</w:t>
            </w:r>
          </w:p>
          <w:p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2"/>
              </w:rPr>
            </w:pPr>
            <w:r>
              <w:object>
                <v:shape id="_x0000_i1025" o:spt="75" type="#_x0000_t75" style="height:8.65pt;width:10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4"/>
              </w:rPr>
            </w:pPr>
            <w:r>
              <w:object>
                <v:shape id="_x0000_i1026" o:spt="75" type="#_x0000_t75" style="height:11.3pt;width:11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szCs w:val="22"/>
              </w:rPr>
              <w:t>：(0.000~999.9)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</w:tbl>
    <w:p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第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附录C、检验数据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A相项目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B相项目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C相项目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</w:tbl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>
          <v:shape id="_x0000_i1027" o:spt="75" type="#_x0000_t75" style="height:15.6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Cs w:val="21"/>
        </w:rPr>
        <w:t>的倍率因数(%)       相位差</w:t>
      </w:r>
      <w:r>
        <w:rPr>
          <w:position w:val="-6"/>
          <w:szCs w:val="21"/>
        </w:rPr>
        <w:object>
          <v:shape id="_x0000_i1028" o:spt="75" type="#_x0000_t75" style="height:13.9pt;width:11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Cs w:val="21"/>
        </w:rPr>
        <w:t>的倍率因数(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t xml:space="preserve">编号：{{ 报告编号 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5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A相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B37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K37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360" w:lineRule="auto"/>
        <w:ind w:firstLine="480" w:firstLineChars="200"/>
        <w:rPr>
          <w:color w:val="000000"/>
          <w:szCs w:val="24"/>
          <w:u w:val="single"/>
        </w:rPr>
      </w:pPr>
    </w:p>
    <w:p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 xml:space="preserve">编号：{{ 报告编号 }}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第 6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B45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K45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第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  <w:bookmarkStart w:id="2" w:name="_GoBack"/>
      <w:bookmarkEnd w:id="2"/>
    </w:p>
    <w:p>
      <w:pPr>
        <w:snapToGrid w:val="0"/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>
      <w:pPr>
        <w:snapToGrid w:val="0"/>
        <w:spacing w:line="360" w:lineRule="auto"/>
        <w:rPr>
          <w:szCs w:val="24"/>
        </w:rPr>
      </w:pPr>
      <w:r>
        <w:rPr>
          <w:szCs w:val="24"/>
        </w:rPr>
        <w:t>5.二次实际负荷下计量绕组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>
      <w:pPr>
        <w:snapToGrid w:val="0"/>
        <w:spacing w:line="360" w:lineRule="auto"/>
      </w:pPr>
      <w:r>
        <w:rPr>
          <w:rFonts w:hint="eastAsia"/>
        </w:rPr>
        <w:t>/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hint="eastAsia" w:eastAsia="黑体"/>
          <w:color w:val="000000"/>
        </w:rPr>
        <w:t>/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rFonts w:hint="default"/>
          <w:color w:val="000000"/>
          <w:szCs w:val="24"/>
          <w:u w:val="single"/>
        </w:rPr>
        <w:t xml:space="preserve"> 8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附录D、试品外观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A相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B相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C相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第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附录E、试验照片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>
      <w:headerReference r:id="rId6" w:type="first"/>
      <w:headerReference r:id="rId5" w:type="default"/>
      <w:pgSz w:w="11907" w:h="16840"/>
      <w:pgMar w:top="1491" w:right="964" w:bottom="1440" w:left="964" w:header="850" w:footer="992" w:gutter="0"/>
      <w:pgNumType w:start="1" w:chapStyle="2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3F1E17E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BBF0780"/>
    <w:rsid w:val="7C9006A6"/>
    <w:rsid w:val="7CFA1B8F"/>
    <w:rsid w:val="7D8C7EAD"/>
    <w:rsid w:val="7D9E6B3B"/>
    <w:rsid w:val="7FB50C6A"/>
    <w:rsid w:val="7FBF1D24"/>
    <w:rsid w:val="97FCE6C1"/>
    <w:rsid w:val="CAFF0867"/>
    <w:rsid w:val="D5F3A4AE"/>
    <w:rsid w:val="F7D55AD9"/>
    <w:rsid w:val="FFFEA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字符"/>
    <w:link w:val="13"/>
    <w:qFormat/>
    <w:uiPriority w:val="99"/>
    <w:rPr>
      <w:sz w:val="18"/>
    </w:rPr>
  </w:style>
  <w:style w:type="character" w:customStyle="1" w:styleId="20">
    <w:name w:val="批注框文本字符"/>
    <w:link w:val="10"/>
    <w:qFormat/>
    <w:uiPriority w:val="0"/>
    <w:rPr>
      <w:sz w:val="18"/>
      <w:szCs w:val="18"/>
    </w:rPr>
  </w:style>
  <w:style w:type="paragraph" w:customStyle="1" w:styleId="21">
    <w:name w:val="_Style 20"/>
    <w:basedOn w:val="1"/>
    <w:next w:val="22"/>
    <w:qFormat/>
    <w:uiPriority w:val="34"/>
    <w:pPr>
      <w:ind w:firstLine="420" w:firstLineChars="200"/>
    </w:pPr>
  </w:style>
  <w:style w:type="paragraph" w:customStyle="1" w:styleId="22">
    <w:name w:val="彩色列表1"/>
    <w:basedOn w:val="1"/>
    <w:qFormat/>
    <w:uiPriority w:val="34"/>
    <w:pPr>
      <w:ind w:firstLine="420" w:firstLineChars="200"/>
    </w:pPr>
  </w:style>
  <w:style w:type="paragraph" w:customStyle="1" w:styleId="23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4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5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6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27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EPRI</Company>
  <Pages>10</Pages>
  <Words>639</Words>
  <Characters>3645</Characters>
  <Lines>30</Lines>
  <Paragraphs>8</Paragraphs>
  <TotalTime>0</TotalTime>
  <ScaleCrop>false</ScaleCrop>
  <LinksUpToDate>false</LinksUpToDate>
  <CharactersWithSpaces>4276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2022-06-11T05:32:00Z</dcterms:created>
  <dc:creator>zuojia</dc:creator>
  <cp:lastModifiedBy>是时候改个名字了</cp:lastModifiedBy>
  <cp:lastPrinted>2022-01-12T16:57:00Z</cp:lastPrinted>
  <dcterms:modified xsi:type="dcterms:W3CDTF">2022-06-10T02:01:47Z</dcterms:modified>
  <dc:title>编号 981024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EE098CB8778B2D916035A2621F0464CE</vt:lpwstr>
  </property>
</Properties>
</file>