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314B01" w14:textId="77777777" w:rsidR="007B5E3B" w:rsidRDefault="007B5E3B" w:rsidP="00B115EA">
      <w:pPr>
        <w:spacing w:beforeLines="50" w:before="120" w:afterLines="50" w:after="120"/>
        <w:jc w:val="left"/>
        <w:rPr>
          <w:rFonts w:ascii="方正小标宋简体" w:eastAsia="方正小标宋简体" w:hAnsi="宋体" w:hint="eastAsia"/>
          <w:b/>
          <w:color w:val="000000"/>
          <w:sz w:val="30"/>
          <w:szCs w:val="30"/>
        </w:rPr>
      </w:pPr>
      <w:r>
        <w:rPr>
          <w:noProof/>
          <w:color w:val="333333"/>
          <w:sz w:val="18"/>
          <w:szCs w:val="18"/>
        </w:rPr>
        <w:drawing>
          <wp:inline distT="0" distB="0" distL="0" distR="0" wp14:anchorId="00D247F9" wp14:editId="1E1FC665">
            <wp:extent cx="1000125" cy="1000125"/>
            <wp:effectExtent l="0" t="0" r="9525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119.jp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00728" cy="1000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115EA">
        <w:rPr>
          <w:rFonts w:ascii="方正小标宋简体" w:eastAsia="方正小标宋简体" w:hAnsi="宋体" w:hint="eastAsia"/>
          <w:b/>
          <w:color w:val="000000"/>
          <w:sz w:val="30"/>
          <w:szCs w:val="30"/>
        </w:rPr>
        <w:t xml:space="preserve"> </w:t>
      </w:r>
      <w:r w:rsidR="00B115EA">
        <w:rPr>
          <w:rFonts w:ascii="方正小标宋简体" w:eastAsia="方正小标宋简体" w:hAnsi="宋体"/>
          <w:b/>
          <w:color w:val="000000"/>
          <w:sz w:val="30"/>
          <w:szCs w:val="30"/>
        </w:rPr>
        <w:t xml:space="preserve">             </w:t>
      </w:r>
      <w:r>
        <w:rPr>
          <w:noProof/>
          <w:color w:val="333333"/>
          <w:sz w:val="18"/>
          <w:szCs w:val="18"/>
        </w:rPr>
        <w:drawing>
          <wp:inline distT="0" distB="0" distL="0" distR="0" wp14:anchorId="440AC73E" wp14:editId="6C8A5D7D">
            <wp:extent cx="2383193" cy="842210"/>
            <wp:effectExtent l="0" t="0" r="0" b="0"/>
            <wp:docPr id="3" name="图片 3" descr="http://office.chd.edu.cn/images/14/04/04/2ot2sih0a9/2009314214947719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http://office.chd.edu.cn/images/14/04/04/2ot2sih0a9/2009314214947719.gif"/>
                    <pic:cNvPicPr>
                      <a:picLocks noChangeAspect="1" noChangeArrowheads="1"/>
                    </pic:cNvPicPr>
                  </pic:nvPicPr>
                  <pic:blipFill>
                    <a:blip r:embed="rId8" r:link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2760" cy="8455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1747D1" w14:textId="77777777" w:rsidR="007B5E3B" w:rsidRDefault="007B5E3B" w:rsidP="007B5E3B">
      <w:pPr>
        <w:spacing w:beforeLines="50" w:before="120" w:afterLines="50" w:after="120" w:line="560" w:lineRule="exact"/>
        <w:rPr>
          <w:rFonts w:ascii="方正小标宋简体" w:eastAsia="方正小标宋简体" w:hAnsi="宋体" w:hint="eastAsia"/>
          <w:b/>
          <w:color w:val="000000"/>
          <w:sz w:val="30"/>
          <w:szCs w:val="30"/>
        </w:rPr>
      </w:pPr>
    </w:p>
    <w:p w14:paraId="1C2B10B1" w14:textId="77777777" w:rsidR="007B5E3B" w:rsidRDefault="007B5E3B" w:rsidP="007B5E3B">
      <w:pPr>
        <w:spacing w:beforeLines="50" w:before="120" w:afterLines="50" w:after="120" w:line="560" w:lineRule="exact"/>
        <w:rPr>
          <w:rFonts w:ascii="方正小标宋简体" w:eastAsia="方正小标宋简体" w:hAnsi="宋体" w:hint="eastAsia"/>
          <w:b/>
          <w:color w:val="000000"/>
          <w:sz w:val="30"/>
          <w:szCs w:val="30"/>
        </w:rPr>
      </w:pPr>
    </w:p>
    <w:p w14:paraId="3B2C2221" w14:textId="77777777" w:rsidR="007B5E3B" w:rsidRDefault="007B5E3B" w:rsidP="007B5E3B">
      <w:pPr>
        <w:spacing w:line="360" w:lineRule="auto"/>
        <w:jc w:val="center"/>
        <w:rPr>
          <w:b/>
          <w:bCs/>
          <w:w w:val="80"/>
          <w:sz w:val="52"/>
          <w:szCs w:val="52"/>
        </w:rPr>
      </w:pPr>
      <w:r>
        <w:rPr>
          <w:rFonts w:hint="eastAsia"/>
          <w:b/>
          <w:bCs/>
          <w:w w:val="80"/>
          <w:sz w:val="52"/>
          <w:szCs w:val="52"/>
        </w:rPr>
        <w:t>《</w:t>
      </w:r>
      <w:r w:rsidRPr="004822C9">
        <w:rPr>
          <w:rFonts w:hint="eastAsia"/>
          <w:b/>
          <w:bCs/>
          <w:w w:val="80"/>
          <w:sz w:val="52"/>
          <w:szCs w:val="52"/>
        </w:rPr>
        <w:t>数据通信与网络课程设计</w:t>
      </w:r>
      <w:r>
        <w:rPr>
          <w:rFonts w:hint="eastAsia"/>
          <w:b/>
          <w:bCs/>
          <w:w w:val="80"/>
          <w:sz w:val="52"/>
          <w:szCs w:val="52"/>
        </w:rPr>
        <w:t>》课程设计日志</w:t>
      </w:r>
    </w:p>
    <w:p w14:paraId="27261EF0" w14:textId="77777777" w:rsidR="007B5E3B" w:rsidRPr="0005659F" w:rsidRDefault="007B5E3B" w:rsidP="007B5E3B">
      <w:pPr>
        <w:spacing w:beforeLines="50" w:before="120" w:afterLines="50" w:after="120" w:line="480" w:lineRule="auto"/>
        <w:jc w:val="center"/>
        <w:rPr>
          <w:rFonts w:ascii="黑体" w:eastAsia="黑体" w:hAnsi="微软雅黑" w:hint="eastAsia"/>
          <w:color w:val="000000"/>
          <w:spacing w:val="20"/>
          <w:sz w:val="52"/>
          <w:szCs w:val="52"/>
        </w:rPr>
      </w:pPr>
    </w:p>
    <w:p w14:paraId="7C7D9395" w14:textId="77777777" w:rsidR="007B5E3B" w:rsidRDefault="007B5E3B" w:rsidP="007B5E3B">
      <w:pPr>
        <w:spacing w:beforeLines="50" w:before="120" w:afterLines="50" w:after="120" w:line="480" w:lineRule="auto"/>
        <w:jc w:val="center"/>
        <w:rPr>
          <w:rFonts w:ascii="方正小标宋简体" w:eastAsia="方正小标宋简体" w:hAnsi="宋体" w:hint="eastAsia"/>
          <w:color w:val="000000"/>
          <w:spacing w:val="20"/>
          <w:sz w:val="52"/>
          <w:szCs w:val="52"/>
        </w:rPr>
      </w:pPr>
    </w:p>
    <w:p w14:paraId="7893B662" w14:textId="5BF288AE" w:rsidR="007B5E3B" w:rsidRPr="007B5E3B" w:rsidRDefault="007B5E3B" w:rsidP="007B5E3B">
      <w:pPr>
        <w:ind w:leftChars="600" w:left="1440" w:firstLineChars="280" w:firstLine="843"/>
        <w:rPr>
          <w:rFonts w:ascii="楷体_GB2312" w:eastAsia="楷体_GB2312"/>
          <w:b/>
          <w:bCs/>
          <w:sz w:val="30"/>
          <w:szCs w:val="28"/>
        </w:rPr>
      </w:pPr>
      <w:proofErr w:type="gramStart"/>
      <w:r w:rsidRPr="007B5E3B">
        <w:rPr>
          <w:rFonts w:ascii="楷体_GB2312" w:eastAsia="楷体_GB2312" w:hint="eastAsia"/>
          <w:b/>
          <w:bCs/>
          <w:sz w:val="30"/>
          <w:szCs w:val="28"/>
        </w:rPr>
        <w:t>课设题目</w:t>
      </w:r>
      <w:proofErr w:type="gramEnd"/>
      <w:r w:rsidRPr="007B5E3B">
        <w:rPr>
          <w:rFonts w:ascii="楷体_GB2312" w:eastAsia="楷体_GB2312" w:hint="eastAsia"/>
          <w:b/>
          <w:bCs/>
          <w:sz w:val="30"/>
          <w:szCs w:val="28"/>
        </w:rPr>
        <w:t>：</w:t>
      </w:r>
      <w:r w:rsidR="00CD7C46" w:rsidRPr="00CD7C46">
        <w:rPr>
          <w:rFonts w:ascii="楷体_GB2312" w:eastAsia="楷体_GB2312"/>
          <w:b/>
          <w:bCs/>
          <w:sz w:val="30"/>
          <w:szCs w:val="28"/>
        </w:rPr>
        <w:t>基于 MQTT 的多节点环境监测系统设计</w:t>
      </w:r>
    </w:p>
    <w:p w14:paraId="55C8C629" w14:textId="77777777" w:rsidR="008B2CF0" w:rsidRPr="007B5E3B" w:rsidRDefault="008B2CF0" w:rsidP="008B2CF0">
      <w:pPr>
        <w:ind w:leftChars="600" w:left="1440" w:firstLineChars="280" w:firstLine="843"/>
        <w:rPr>
          <w:rFonts w:ascii="楷体_GB2312" w:eastAsia="楷体_GB2312"/>
          <w:b/>
          <w:bCs/>
          <w:sz w:val="30"/>
          <w:szCs w:val="28"/>
        </w:rPr>
      </w:pPr>
      <w:r w:rsidRPr="007B5E3B">
        <w:rPr>
          <w:rFonts w:ascii="楷体_GB2312" w:eastAsia="楷体_GB2312" w:hint="eastAsia"/>
          <w:b/>
          <w:bCs/>
          <w:sz w:val="30"/>
          <w:szCs w:val="28"/>
        </w:rPr>
        <w:t>所在小组：</w:t>
      </w:r>
    </w:p>
    <w:p w14:paraId="1266F6C7" w14:textId="6F46B0FD" w:rsidR="007B5E3B" w:rsidRPr="007B5E3B" w:rsidRDefault="007B5E3B" w:rsidP="007B5E3B">
      <w:pPr>
        <w:ind w:leftChars="600" w:left="1440" w:firstLineChars="280" w:firstLine="843"/>
        <w:rPr>
          <w:rFonts w:ascii="楷体_GB2312" w:eastAsia="楷体_GB2312"/>
          <w:b/>
          <w:bCs/>
          <w:sz w:val="30"/>
          <w:szCs w:val="28"/>
        </w:rPr>
      </w:pPr>
      <w:r w:rsidRPr="007B5E3B">
        <w:rPr>
          <w:rFonts w:ascii="楷体_GB2312" w:eastAsia="楷体_GB2312" w:hint="eastAsia"/>
          <w:b/>
          <w:bCs/>
          <w:sz w:val="30"/>
          <w:szCs w:val="28"/>
        </w:rPr>
        <w:t>学生姓名：胡艺瀚</w:t>
      </w:r>
      <w:r w:rsidR="00CD7C46">
        <w:rPr>
          <w:rFonts w:ascii="楷体_GB2312" w:eastAsia="楷体_GB2312" w:hint="eastAsia"/>
          <w:b/>
          <w:bCs/>
          <w:sz w:val="30"/>
          <w:szCs w:val="28"/>
        </w:rPr>
      </w:r>
    </w:p>
    <w:p w14:paraId="1315E8A4" w14:textId="1D779368" w:rsidR="007B5E3B" w:rsidRPr="007B5E3B" w:rsidRDefault="007B5E3B" w:rsidP="007B5E3B">
      <w:pPr>
        <w:ind w:leftChars="600" w:left="1440" w:firstLineChars="280" w:firstLine="843"/>
        <w:rPr>
          <w:rFonts w:ascii="楷体_GB2312" w:eastAsia="楷体_GB2312"/>
          <w:b/>
          <w:bCs/>
          <w:sz w:val="30"/>
          <w:szCs w:val="28"/>
        </w:rPr>
      </w:pPr>
      <w:r w:rsidRPr="007B5E3B">
        <w:rPr>
          <w:rFonts w:ascii="楷体_GB2312" w:eastAsia="楷体_GB2312" w:hint="eastAsia"/>
          <w:b/>
          <w:bCs/>
          <w:sz w:val="30"/>
          <w:szCs w:val="28"/>
        </w:rPr>
        <w:t>学    号：2023905925</w:t>
      </w:r>
      <w:r w:rsidR="0035587F">
        <w:rPr>
          <w:rFonts w:ascii="楷体_GB2312" w:eastAsia="楷体_GB2312" w:hint="eastAsia"/>
          <w:b/>
          <w:bCs/>
          <w:sz w:val="30"/>
          <w:szCs w:val="28"/>
        </w:rPr>
      </w:r>
      <w:r w:rsidR="0035587F">
        <w:rPr>
          <w:rFonts w:ascii="楷体_GB2312" w:eastAsia="楷体_GB2312"/>
          <w:b/>
          <w:bCs/>
          <w:sz w:val="30"/>
          <w:szCs w:val="28"/>
        </w:rPr>
      </w:r>
      <w:r w:rsidRPr="007B5E3B">
        <w:rPr>
          <w:rFonts w:ascii="楷体_GB2312" w:eastAsia="楷体_GB2312" w:hint="eastAsia"/>
          <w:b/>
          <w:bCs/>
          <w:sz w:val="30"/>
          <w:szCs w:val="28"/>
        </w:rPr>
      </w:r>
      <w:r w:rsidR="00CD7C46">
        <w:rPr>
          <w:rFonts w:ascii="楷体_GB2312" w:eastAsia="楷体_GB2312" w:hint="eastAsia"/>
          <w:b/>
          <w:bCs/>
          <w:sz w:val="30"/>
          <w:szCs w:val="28"/>
        </w:rPr>
      </w:r>
    </w:p>
    <w:p w14:paraId="4A8AA5D5" w14:textId="4685B39A" w:rsidR="007B5E3B" w:rsidRPr="007B5E3B" w:rsidRDefault="007B5E3B" w:rsidP="007B5E3B">
      <w:pPr>
        <w:ind w:leftChars="600" w:left="1440" w:firstLineChars="280" w:firstLine="843"/>
        <w:rPr>
          <w:rFonts w:ascii="楷体_GB2312" w:eastAsia="楷体_GB2312"/>
          <w:b/>
          <w:bCs/>
          <w:sz w:val="30"/>
          <w:szCs w:val="28"/>
        </w:rPr>
      </w:pPr>
      <w:r w:rsidRPr="007B5E3B">
        <w:rPr>
          <w:rFonts w:ascii="楷体_GB2312" w:eastAsia="楷体_GB2312" w:hint="eastAsia"/>
          <w:b/>
          <w:bCs/>
          <w:sz w:val="30"/>
          <w:szCs w:val="28"/>
        </w:rPr>
        <w:t>班    级：2023240303</w:t>
      </w:r>
      <w:r w:rsidR="0035587F">
        <w:rPr>
          <w:rFonts w:ascii="楷体_GB2312" w:eastAsia="楷体_GB2312" w:hint="eastAsia"/>
          <w:b/>
          <w:bCs/>
          <w:sz w:val="30"/>
          <w:szCs w:val="28"/>
        </w:rPr>
      </w:r>
      <w:r w:rsidR="0035587F">
        <w:rPr>
          <w:rFonts w:ascii="楷体_GB2312" w:eastAsia="楷体_GB2312"/>
          <w:b/>
          <w:bCs/>
          <w:sz w:val="30"/>
          <w:szCs w:val="28"/>
        </w:rPr>
      </w:r>
      <w:r w:rsidRPr="007B5E3B">
        <w:rPr>
          <w:rFonts w:ascii="楷体_GB2312" w:eastAsia="楷体_GB2312" w:hint="eastAsia"/>
          <w:b/>
          <w:bCs/>
          <w:sz w:val="30"/>
          <w:szCs w:val="28"/>
        </w:rPr>
      </w:r>
      <w:r w:rsidR="00CD7C46">
        <w:rPr>
          <w:rFonts w:ascii="楷体_GB2312" w:eastAsia="楷体_GB2312" w:hint="eastAsia"/>
          <w:b/>
          <w:bCs/>
          <w:sz w:val="30"/>
          <w:szCs w:val="28"/>
        </w:rPr>
      </w:r>
    </w:p>
    <w:p w14:paraId="4408B671" w14:textId="7483E507" w:rsidR="007B5E3B" w:rsidRPr="007B5E3B" w:rsidRDefault="007B5E3B" w:rsidP="007B5E3B">
      <w:pPr>
        <w:ind w:leftChars="600" w:left="1440" w:firstLineChars="280" w:firstLine="843"/>
        <w:rPr>
          <w:rFonts w:ascii="楷体_GB2312" w:eastAsia="楷体_GB2312"/>
          <w:b/>
          <w:bCs/>
          <w:sz w:val="30"/>
          <w:szCs w:val="28"/>
        </w:rPr>
      </w:pPr>
      <w:r w:rsidRPr="007B5E3B">
        <w:rPr>
          <w:rFonts w:ascii="楷体_GB2312" w:eastAsia="楷体_GB2312" w:hint="eastAsia"/>
          <w:b/>
          <w:bCs/>
          <w:sz w:val="30"/>
          <w:szCs w:val="28"/>
        </w:rPr>
        <w:t>小组成员：孙博宇、韦煜城、曾家豪</w:t>
      </w:r>
      <w:r w:rsidR="00CD7C46">
        <w:rPr>
          <w:rFonts w:ascii="楷体_GB2312" w:eastAsia="楷体_GB2312" w:hint="eastAsia"/>
          <w:b/>
          <w:bCs/>
          <w:sz w:val="30"/>
          <w:szCs w:val="28"/>
        </w:rPr>
      </w:r>
      <w:r w:rsidR="00BF1FF6">
        <w:rPr>
          <w:rFonts w:ascii="楷体_GB2312" w:eastAsia="楷体_GB2312" w:hint="eastAsia"/>
          <w:b/>
          <w:bCs/>
          <w:sz w:val="30"/>
          <w:szCs w:val="28"/>
        </w:rPr>
      </w:r>
      <w:proofErr w:type="gramStart"/>
      <w:r w:rsidR="00BF1FF6">
        <w:rPr>
          <w:rFonts w:ascii="楷体_GB2312" w:eastAsia="楷体_GB2312" w:hint="eastAsia"/>
          <w:b/>
          <w:bCs/>
          <w:sz w:val="30"/>
          <w:szCs w:val="28"/>
        </w:rPr>
      </w:r>
      <w:proofErr w:type="gramEnd"/>
    </w:p>
    <w:p w14:paraId="1D4BF3A1" w14:textId="5834ADDC" w:rsidR="007B5E3B" w:rsidRDefault="007B5E3B" w:rsidP="007B5E3B">
      <w:pPr>
        <w:ind w:leftChars="600" w:left="1440" w:firstLineChars="280" w:firstLine="843"/>
        <w:rPr>
          <w:rFonts w:ascii="楷体_GB2312" w:eastAsia="楷体_GB2312"/>
          <w:b/>
          <w:bCs/>
          <w:sz w:val="30"/>
          <w:szCs w:val="28"/>
        </w:rPr>
      </w:pPr>
      <w:r w:rsidRPr="007B5E3B">
        <w:rPr>
          <w:rFonts w:ascii="楷体_GB2312" w:eastAsia="楷体_GB2312" w:hint="eastAsia"/>
          <w:b/>
          <w:bCs/>
          <w:sz w:val="30"/>
          <w:szCs w:val="28"/>
        </w:rPr>
        <w:t>本人主要分工：软件设计、性能测试与项目推进</w:t>
      </w:r>
      <w:r w:rsidR="00CD7C46">
        <w:rPr>
          <w:rFonts w:ascii="楷体_GB2312" w:eastAsia="楷体_GB2312" w:hint="eastAsia"/>
          <w:b/>
          <w:bCs/>
          <w:sz w:val="30"/>
          <w:szCs w:val="28"/>
        </w:rPr>
      </w:r>
      <w:r w:rsidR="00E71B09">
        <w:rPr>
          <w:rFonts w:ascii="楷体_GB2312" w:eastAsia="楷体_GB2312" w:hint="eastAsia"/>
          <w:b/>
          <w:bCs/>
          <w:sz w:val="30"/>
          <w:szCs w:val="28"/>
        </w:rPr>
      </w:r>
      <w:r w:rsidR="007C5610">
        <w:rPr>
          <w:rFonts w:ascii="楷体_GB2312" w:eastAsia="楷体_GB2312" w:hint="eastAsia"/>
          <w:b/>
          <w:bCs/>
          <w:sz w:val="30"/>
          <w:szCs w:val="28"/>
        </w:rPr>
      </w:r>
      <w:r w:rsidR="00CD7C46">
        <w:rPr>
          <w:rFonts w:ascii="楷体_GB2312" w:eastAsia="楷体_GB2312" w:hint="eastAsia"/>
          <w:b/>
          <w:bCs/>
          <w:sz w:val="30"/>
          <w:szCs w:val="28"/>
        </w:rPr>
      </w:r>
    </w:p>
    <w:p w14:paraId="05CE3485" w14:textId="77777777" w:rsidR="007B5E3B" w:rsidRPr="009A0E37" w:rsidRDefault="007B5E3B" w:rsidP="007B5E3B">
      <w:pPr>
        <w:ind w:leftChars="600" w:left="1440" w:firstLineChars="280" w:firstLine="843"/>
        <w:rPr>
          <w:rFonts w:ascii="楷体_GB2312" w:eastAsia="楷体_GB2312"/>
          <w:b/>
          <w:bCs/>
          <w:sz w:val="30"/>
          <w:szCs w:val="28"/>
        </w:rPr>
      </w:pPr>
      <w:r w:rsidRPr="009A0E37">
        <w:rPr>
          <w:rFonts w:ascii="楷体_GB2312" w:eastAsia="楷体_GB2312" w:hint="eastAsia"/>
          <w:b/>
          <w:bCs/>
          <w:sz w:val="30"/>
          <w:szCs w:val="28"/>
        </w:rPr>
        <w:t>指导老师：</w:t>
      </w:r>
      <w:r>
        <w:rPr>
          <w:rFonts w:ascii="楷体_GB2312" w:eastAsia="楷体_GB2312" w:hint="eastAsia"/>
          <w:b/>
          <w:bCs/>
          <w:sz w:val="30"/>
          <w:szCs w:val="28"/>
        </w:rPr>
        <w:t>和洁，</w:t>
      </w:r>
      <w:r w:rsidRPr="009A0E37">
        <w:rPr>
          <w:rFonts w:ascii="楷体_GB2312" w:eastAsia="楷体_GB2312" w:hint="eastAsia"/>
          <w:b/>
          <w:bCs/>
          <w:sz w:val="30"/>
          <w:szCs w:val="28"/>
        </w:rPr>
        <w:t>傅攀峰</w:t>
      </w:r>
      <w:r>
        <w:rPr>
          <w:rFonts w:ascii="楷体_GB2312" w:eastAsia="楷体_GB2312" w:hint="eastAsia"/>
          <w:b/>
          <w:bCs/>
          <w:sz w:val="30"/>
          <w:szCs w:val="28"/>
        </w:rPr>
        <w:t>，刘若辰</w:t>
      </w:r>
    </w:p>
    <w:p w14:paraId="52C17B4D" w14:textId="77777777" w:rsidR="007B5E3B" w:rsidRDefault="008B2CF0" w:rsidP="007B5E3B">
      <w:pPr>
        <w:ind w:leftChars="600" w:left="1440" w:firstLineChars="280" w:firstLine="843"/>
        <w:rPr>
          <w:b/>
          <w:bCs/>
          <w:sz w:val="48"/>
        </w:rPr>
      </w:pPr>
      <w:r>
        <w:rPr>
          <w:rFonts w:ascii="楷体_GB2312" w:eastAsia="楷体_GB2312" w:hint="eastAsia"/>
          <w:b/>
          <w:bCs/>
          <w:sz w:val="30"/>
          <w:szCs w:val="28"/>
        </w:rPr>
        <w:t xml:space="preserve">时 </w:t>
      </w:r>
      <w:r>
        <w:rPr>
          <w:rFonts w:ascii="楷体_GB2312" w:eastAsia="楷体_GB2312"/>
          <w:b/>
          <w:bCs/>
          <w:sz w:val="30"/>
          <w:szCs w:val="28"/>
        </w:rPr>
        <w:t xml:space="preserve">   </w:t>
      </w:r>
      <w:r>
        <w:rPr>
          <w:rFonts w:ascii="楷体_GB2312" w:eastAsia="楷体_GB2312" w:hint="eastAsia"/>
          <w:b/>
          <w:bCs/>
          <w:sz w:val="30"/>
          <w:szCs w:val="28"/>
        </w:rPr>
        <w:t>间：</w:t>
      </w:r>
      <w:r w:rsidRPr="009A0E37">
        <w:rPr>
          <w:rFonts w:ascii="楷体_GB2312" w:eastAsia="楷体_GB2312" w:hint="eastAsia"/>
          <w:b/>
          <w:bCs/>
          <w:sz w:val="30"/>
          <w:szCs w:val="28"/>
        </w:rPr>
        <w:t>20</w:t>
      </w:r>
      <w:r w:rsidRPr="009A0E37">
        <w:rPr>
          <w:rFonts w:ascii="楷体_GB2312" w:eastAsia="楷体_GB2312"/>
          <w:b/>
          <w:bCs/>
          <w:sz w:val="30"/>
          <w:szCs w:val="28"/>
        </w:rPr>
        <w:t>2</w:t>
      </w:r>
      <w:r>
        <w:rPr>
          <w:rFonts w:ascii="楷体_GB2312" w:eastAsia="楷体_GB2312"/>
          <w:b/>
          <w:bCs/>
          <w:sz w:val="30"/>
          <w:szCs w:val="28"/>
        </w:rPr>
        <w:t>6</w:t>
      </w:r>
      <w:r w:rsidRPr="009A0E37">
        <w:rPr>
          <w:rFonts w:ascii="楷体_GB2312" w:eastAsia="楷体_GB2312" w:hint="eastAsia"/>
          <w:b/>
          <w:bCs/>
          <w:sz w:val="30"/>
          <w:szCs w:val="28"/>
        </w:rPr>
        <w:t>年</w:t>
      </w:r>
      <w:r>
        <w:rPr>
          <w:rFonts w:ascii="楷体_GB2312" w:eastAsia="楷体_GB2312"/>
          <w:b/>
          <w:bCs/>
          <w:sz w:val="30"/>
          <w:szCs w:val="28"/>
        </w:rPr>
        <w:t>6</w:t>
      </w:r>
      <w:r w:rsidRPr="009A0E37">
        <w:rPr>
          <w:rFonts w:ascii="楷体_GB2312" w:eastAsia="楷体_GB2312" w:hint="eastAsia"/>
          <w:b/>
          <w:bCs/>
          <w:sz w:val="30"/>
          <w:szCs w:val="28"/>
        </w:rPr>
        <w:t>月</w:t>
      </w:r>
    </w:p>
    <w:p w14:paraId="63A42086" w14:textId="77777777" w:rsidR="007B5E3B" w:rsidRDefault="007B5E3B" w:rsidP="007B5E3B">
      <w:pPr>
        <w:tabs>
          <w:tab w:val="left" w:pos="0"/>
        </w:tabs>
        <w:spacing w:line="360" w:lineRule="auto"/>
        <w:rPr>
          <w:rStyle w:val="a9"/>
          <w:rFonts w:ascii="黑体" w:eastAsia="黑体" w:hAnsi="宋体" w:hint="eastAsia"/>
        </w:rPr>
      </w:pPr>
    </w:p>
    <w:p w14:paraId="2A808F92" w14:textId="77777777" w:rsidR="00B115EA" w:rsidRDefault="00B115EA" w:rsidP="007B5E3B">
      <w:pPr>
        <w:tabs>
          <w:tab w:val="left" w:pos="0"/>
        </w:tabs>
        <w:spacing w:line="360" w:lineRule="auto"/>
        <w:rPr>
          <w:rStyle w:val="a9"/>
          <w:rFonts w:ascii="黑体" w:eastAsia="黑体" w:hAnsi="宋体" w:hint="eastAsia"/>
        </w:rPr>
      </w:pPr>
    </w:p>
    <w:p w14:paraId="2110942E" w14:textId="77777777" w:rsidR="00B115EA" w:rsidRDefault="00B115EA" w:rsidP="007B5E3B">
      <w:pPr>
        <w:tabs>
          <w:tab w:val="left" w:pos="0"/>
        </w:tabs>
        <w:spacing w:line="360" w:lineRule="auto"/>
        <w:rPr>
          <w:rStyle w:val="a9"/>
          <w:rFonts w:ascii="黑体" w:eastAsia="黑体" w:hAnsi="宋体" w:hint="eastAsia"/>
        </w:rPr>
      </w:pPr>
    </w:p>
    <w:p w14:paraId="14116EC6" w14:textId="77777777" w:rsidR="00B115EA" w:rsidRPr="009A0E37" w:rsidRDefault="00B115EA" w:rsidP="007B5E3B">
      <w:pPr>
        <w:tabs>
          <w:tab w:val="left" w:pos="0"/>
        </w:tabs>
        <w:spacing w:line="360" w:lineRule="auto"/>
        <w:rPr>
          <w:rStyle w:val="a9"/>
          <w:rFonts w:ascii="黑体" w:eastAsia="黑体" w:hAnsi="宋体" w:hint="eastAsia"/>
        </w:rPr>
      </w:pPr>
    </w:p>
    <w:p w14:paraId="7BD34F08" w14:textId="77777777" w:rsidR="007B5E3B" w:rsidRDefault="007B5E3B" w:rsidP="00A300C6">
      <w:pPr>
        <w:widowControl/>
        <w:jc w:val="center"/>
        <w:rPr>
          <w:rFonts w:ascii="方正小标宋简体" w:eastAsia="方正小标宋简体"/>
          <w:b/>
          <w:bCs/>
          <w:color w:val="000000"/>
          <w:sz w:val="30"/>
          <w:szCs w:val="30"/>
        </w:rPr>
      </w:pPr>
      <w:r>
        <w:rPr>
          <w:rFonts w:ascii="方正小标宋简体" w:eastAsia="方正小标宋简体" w:hint="eastAsia"/>
          <w:b/>
          <w:bCs/>
          <w:color w:val="000000"/>
          <w:sz w:val="30"/>
          <w:szCs w:val="30"/>
        </w:rPr>
        <w:t>信息工程学院</w:t>
      </w:r>
    </w:p>
    <w:p w14:paraId="748BF371" w14:textId="77777777" w:rsidR="00B115EA" w:rsidRDefault="00B115EA" w:rsidP="00A300C6">
      <w:pPr>
        <w:widowControl/>
        <w:jc w:val="center"/>
      </w:pPr>
    </w:p>
    <w:p>
      <w:pPr>
        <w:pStyle w:val="3"/>
      </w:pPr>
      <w:r>
        <w:t>第 1 个工作日：题目理解、项目规划与需求设计</w:t>
      </w:r>
    </w:p>
    <w:p>
      <w:r>
        <w:t>日期：2026年6月8日</w:t>
      </w:r>
    </w:p>
    <w:p>
      <w:r>
        <w:rPr>
          <w:b/>
        </w:rPr>
        <w:t>1. 今日主要工作内容</w:t>
      </w:r>
    </w:p>
    <w:p>
      <w:pPr>
        <w:spacing w:line="324" w:lineRule="auto"/>
      </w:pPr>
      <w:r>
        <w:t>今天是课程设计的第一个工作日，主要完成项目的启动与整体规划。上午认真听取了老师对本次课程设计的讲解，了解了整体安排、工作日进度要求、阶段检查的时间节点、报告结构、答辩与演示方式以及测试证据要求。老师特别强调课程设计要体现工程思维——不能停留在“能跑通”，而要从需求分析、方案设计、协议选择、测试验证到过程记录完整说明每一步的设计依据。这让我意识到本项目不仅要实现功能，更要讲清楚“为什么这样做”。</w:t>
      </w:r>
    </w:p>
    <w:p>
      <w:pPr>
        <w:spacing w:line="324" w:lineRule="auto"/>
      </w:pPr>
      <w:r>
        <w:t>课后我对本组选题《基于 MQTT 的多节点环境监测系统设计》进行了分析，并组织、主持了第一次小组会议。会上讨论了系统的应用场景（智慧校园环境监测）、整体技术路线（先用 PC 模拟节点打通通信链路、再接入 ESP32 真实硬件节点）、小组分工与性能目标，并确定了“一个模块一个模块推进、全程基于 GitHub 留痕”的工作方式。作为软件侧与流程负责人，我牵头搭建了项目骨架，并起草了需求分析与协议设计文档。</w:t>
      </w:r>
    </w:p>
    <w:p>
      <w:r>
        <w:rPr>
          <w:b/>
        </w:rPr>
        <w:t>2. 本人完成的具体任务</w:t>
      </w:r>
    </w:p>
    <w:p>
      <w:pPr>
        <w:spacing w:line="324" w:lineRule="auto"/>
      </w:pPr>
      <w:r>
        <w:t>① 系统梳理课程设计的阶段要求、提交材料清单与答辩重点，形成本组的工作节奏安排，明确每个工作日的目标产出。</w:t>
      </w:r>
    </w:p>
    <w:p>
      <w:pPr>
        <w:spacing w:line="324" w:lineRule="auto"/>
      </w:pPr>
      <w:r>
        <w:t>② 主导确定项目整体推进流程，采用“一次只做一个模块”的方式，每次围绕当前模块完成设计、实现、验证与提交，避免一次性铺开导致进度失控。</w:t>
      </w:r>
    </w:p>
    <w:p>
      <w:pPr>
        <w:spacing w:line="324" w:lineRule="auto"/>
      </w:pPr>
      <w:r>
        <w:t>③ 规划 GitHub 协作流程，约定“先建 Issue、再开分支提 PR、审查后合并”，并用 README 进度表、commit 信息与文档持续留痕，保证整个设计过程可追溯。</w:t>
      </w:r>
    </w:p>
    <w:p>
      <w:pPr>
        <w:spacing w:line="324" w:lineRule="auto"/>
      </w:pPr>
      <w:r>
        <w:t>④ 组织并主持第一次小组会议，明确分工：本人与曾家豪负责软件侧（协议、建模、监控端、计算器、压测），孙博宇与韦煜城负责硬件侧（ESP32 传感器、固件、配网）。</w:t>
      </w:r>
    </w:p>
    <w:p>
      <w:pPr>
        <w:spacing w:line="324" w:lineRule="auto"/>
      </w:pPr>
      <w:r>
        <w:t>⑤ 完成项目基础目录结构搭建与课程资料归档，并编写 README 初版，记录项目简介、成员信息、目录结构与当前进度。</w:t>
      </w:r>
    </w:p>
    <w:p>
      <w:pPr>
        <w:spacing w:line="324" w:lineRule="auto"/>
      </w:pPr>
      <w:r>
        <w:t>⑥ 完成《需求分析与设计指标》初稿（明确应用场景、功能需求、性能指标与验证方式），以及《MQTT 主题与消息格式设计》文档（确定 Topic 命名规则、JSON 字段与中文显示映射）。</w:t>
      </w:r>
    </w:p>
    <w:p>
      <w:r>
        <w:rPr>
          <w:b/>
        </w:rPr>
        <w:t>3. 遇到的问题</w:t>
      </w:r>
    </w:p>
    <w:p>
      <w:pPr>
        <w:spacing w:line="324" w:lineRule="auto"/>
      </w:pPr>
      <w:r>
        <w:t>① 项目初期任务繁多，若一次性把所有模块都展开规划，后续执行容易顾此失彼、压力过大。</w:t>
      </w:r>
    </w:p>
    <w:p>
      <w:pPr>
        <w:spacing w:line="324" w:lineRule="auto"/>
      </w:pPr>
      <w:r>
        <w:t>② 在设计 MQTT Topic 与 JSON 字段时，纠结于是否可以使用中文命名，担心编码兼容与后续抓包分析时出现乱码。</w:t>
      </w:r>
    </w:p>
    <w:p>
      <w:pPr>
        <w:spacing w:line="324" w:lineRule="auto"/>
      </w:pPr>
      <w:r>
        <w:t>③ 小组四人软硬件背景不同，硬件节点与软件链路如何在接口上保持一致，需要在一开始就约定清楚，否则后期联调会反复返工。</w:t>
      </w:r>
    </w:p>
    <w:p>
      <w:r>
        <w:rPr>
          <w:b/>
        </w:rPr>
        <w:t>4. 解决方法</w:t>
      </w:r>
    </w:p>
    <w:p>
      <w:pPr>
        <w:spacing w:line="324" w:lineRule="auto"/>
      </w:pPr>
      <w:r>
        <w:t>① 采用“一个模块一个模块推进”的流程，把大任务拆成可交付的小步骤，每步都有明确产出与验证，降低执行风险。</w:t>
      </w:r>
    </w:p>
    <w:p>
      <w:pPr>
        <w:spacing w:line="324" w:lineRule="auto"/>
      </w:pPr>
      <w:r>
        <w:t>② 确定“展示用中文、底层用英文”的原则：文档与页面显示用中文，而 Topic、JSON 字段名和代码变量统一使用英文，从源头避免编码兼容与抓包乱码问题。</w:t>
      </w:r>
    </w:p>
    <w:p>
      <w:pPr>
        <w:spacing w:line="324" w:lineRule="auto"/>
      </w:pPr>
      <w:r>
        <w:t>③ 在需求与协议文档中统一约定主题结构 env_monitor/{node_id}/{data_type} 与消息字段，作为软硬件双方共同遵循的接口规范。</w:t>
      </w:r>
    </w:p>
    <w:p>
      <w:r>
        <w:rPr>
          <w:b/>
        </w:rPr>
        <w:t>5. 今日成果</w:t>
      </w:r>
    </w:p>
    <w:p>
      <w:pPr>
        <w:spacing w:line="324" w:lineRule="auto"/>
      </w:pPr>
      <w:r>
        <w:t>① 完成项目仓库初始结构与 README 初版，以及《需求分析与设计指标》《MQTT 主题与消息格式设计》两份设计文档。</w:t>
      </w:r>
    </w:p>
    <w:p>
      <w:pPr>
        <w:spacing w:line="324" w:lineRule="auto"/>
      </w:pPr>
      <w:r>
        <w:t>② 主导确定了项目整体推进流程与小组分工，并整理形成第一次会议记录。</w:t>
      </w:r>
    </w:p>
    <w:p>
      <w:pPr>
        <w:spacing w:line="324" w:lineRule="auto"/>
      </w:pPr>
      <w:r>
        <w:t>③ 明确了“先软件打通链路、再接入硬件”的技术路线，为后续开发奠定了基础。</w:t>
      </w:r>
    </w:p>
    <w:p>
      <w:r>
        <w:rPr>
          <w:b/>
        </w:rPr>
        <w:t>6. 明日计划</w:t>
      </w:r>
    </w:p>
    <w:p>
      <w:pPr>
        <w:spacing w:line="324" w:lineRule="auto"/>
      </w:pPr>
      <w:r>
        <w:t>① 进一步规范 GitHub 协作流程，审查队友提交的 Issue 与 PR。</w:t>
      </w:r>
    </w:p>
    <w:p>
      <w:pPr>
        <w:spacing w:line="324" w:lineRule="auto"/>
      </w:pPr>
      <w:r>
        <w:t>② 调研本地 MQTT Broker 方案并编写发布订阅测试脚本，为 PC 模拟节点与 Web 监控端开发做准备。</w:t>
      </w:r>
    </w:p>
    <w:p>
      <w:pPr>
        <w:pBdr>
          <w:bottom w:val="single" w:sz="6" w:space="1" w:color="auto"/>
        </w:pBdr>
        <w:spacing w:after="120"/>
      </w:pPr>
    </w:p>
    <w:p>
      <w:pPr>
        <w:pStyle w:val="3"/>
      </w:pPr>
      <w:r>
        <w:t>第 2 个工作日：协作流程规范与本地 Broker 验证</w:t>
      </w:r>
    </w:p>
    <w:p>
      <w:r>
        <w:t>日期：2026年6月9日</w:t>
      </w:r>
    </w:p>
    <w:p>
      <w:r>
        <w:rPr>
          <w:b/>
        </w:rPr>
        <w:t>1. 今日主要工作内容</w:t>
      </w:r>
    </w:p>
    <w:p>
      <w:pPr>
        <w:spacing w:line="324" w:lineRule="auto"/>
      </w:pPr>
      <w:r>
        <w:t>今天主要围绕 GitHub 协作流程规范和软件侧开发准备开展工作。一方面，对小组成员提交的 Issue 与 PR 进行审查，进一步把“先 Issue、再 PR、审查后合并”的协作流程落到实处；另一方面，搭建本地 MQTT Broker 并编写发布订阅测试脚本，先在最小环境下验证 MQTT 通信是否通畅，为后续 PC 模拟节点和 Web 监控端的开发打好基础。</w:t>
      </w:r>
    </w:p>
    <w:p>
      <w:pPr>
        <w:spacing w:line="324" w:lineRule="auto"/>
      </w:pPr>
      <w:r>
        <w:t>作为流程负责人，我把关每一次合并：队友的提交先经我审查、在评论区给出可直接照做的修改建议，再由对应负责人改完合并，这样既保证仓库规范统一，又保留了各自的工作过程与署名。</w:t>
      </w:r>
    </w:p>
    <w:p>
      <w:r>
        <w:rPr>
          <w:b/>
        </w:rPr>
        <w:t>2. 本人完成的具体任务</w:t>
      </w:r>
    </w:p>
    <w:p>
      <w:pPr>
        <w:spacing w:line="324" w:lineRule="auto"/>
      </w:pPr>
      <w:r>
        <w:t>① 审查队友提交的 ESP32 硬件节点设计、工程化分析等 Issue 与 PR，针对其中的问题整理可复制到评论区的修改建议，包括文件名补 .md 后缀、PR 关联对应 Issue、文档范围适当压缩、协议字段与全局规范保持一致等。</w:t>
      </w:r>
    </w:p>
    <w:p>
      <w:pPr>
        <w:spacing w:line="324" w:lineRule="auto"/>
      </w:pPr>
      <w:r>
        <w:t>② 处理 GitHub 分支同步与推送问题，进一步熟悉 fetch、pull --ff-only、merge、push 等操作的差异与适用场景。</w:t>
      </w:r>
    </w:p>
    <w:p>
      <w:pPr>
        <w:spacing w:line="324" w:lineRule="auto"/>
      </w:pPr>
      <w:r>
        <w:t>③ 新增 requirements.txt，记录 paho-mqtt 与 amqtt 等依赖，方便组员一键安装统一环境。</w:t>
      </w:r>
    </w:p>
    <w:p>
      <w:pPr>
        <w:spacing w:line="324" w:lineRule="auto"/>
      </w:pPr>
      <w:r>
        <w:t>④ 编写 scripts/mqtt_broker.py，用 amqtt 启动一个本地轻量 MQTT Broker，供本地开发与最小验证使用。</w:t>
      </w:r>
    </w:p>
    <w:p>
      <w:pPr>
        <w:spacing w:line="324" w:lineRule="auto"/>
      </w:pPr>
      <w:r>
        <w:t>⑤ 编写 scripts/mqtt_pub_test.py 与 scripts/mqtt_sub_test.py 两个发布、订阅测试脚本，用于快速验证主题匹配与消息收发。</w:t>
      </w:r>
    </w:p>
    <w:p>
      <w:pPr>
        <w:spacing w:line="324" w:lineRule="auto"/>
      </w:pPr>
      <w:r>
        <w:t>⑥ 用 Python 脚本完成 2 个节点、4 类环境数据共 8 条消息的发布订阅验证，确认 Broker 转发与通配符订阅工作正常。</w:t>
      </w:r>
    </w:p>
    <w:p>
      <w:r>
        <w:rPr>
          <w:b/>
        </w:rPr>
        <w:t>3. 遇到的问题</w:t>
      </w:r>
    </w:p>
    <w:p>
      <w:pPr>
        <w:spacing w:line="324" w:lineRule="auto"/>
      </w:pPr>
      <w:r>
        <w:t>① 本地 main 与远程 main 存在差异，直接 push 被拒绝，一开始没理解原因。</w:t>
      </w:r>
    </w:p>
    <w:p>
      <w:pPr>
        <w:spacing w:line="324" w:lineRule="auto"/>
      </w:pPr>
      <w:r>
        <w:t>② 队友的 Issue 与 PR 存在任务范围偏大、文件名缺少后缀、PR 与 Issue 未关联等不规范问题，若直接合并会让仓库变乱。</w:t>
      </w:r>
    </w:p>
    <w:p>
      <w:r>
        <w:rPr>
          <w:b/>
        </w:rPr>
        <w:t>4. 解决方法</w:t>
      </w:r>
    </w:p>
    <w:p>
      <w:pPr>
        <w:spacing w:line="324" w:lineRule="auto"/>
      </w:pPr>
      <w:r>
        <w:t>① 先 fetch 获取远程更新，再用 pull --ff-only 把本地分支快进到远程最新状态，由此真正理解了“远程比本地新时不能直接推送、需先合并或快进”的原因。</w:t>
      </w:r>
    </w:p>
    <w:p>
      <w:pPr>
        <w:spacing w:line="324" w:lineRule="auto"/>
      </w:pPr>
      <w:r>
        <w:t>② 采用“先审查、再在评论区给修改建议、最后由对应负责人修改后合并”的方式处理队友 PR，既维护规范，又不抢占队友的工作过程。</w:t>
      </w:r>
    </w:p>
    <w:p>
      <w:r>
        <w:rPr>
          <w:b/>
        </w:rPr>
        <w:t>5. 今日成果</w:t>
      </w:r>
    </w:p>
    <w:p>
      <w:pPr>
        <w:spacing w:line="324" w:lineRule="auto"/>
      </w:pPr>
      <w:r>
        <w:t>① 完成 Issue 与 PR 审查，明确队友 PR 合并前需要修改的具体问题并给出建议。</w:t>
      </w:r>
    </w:p>
    <w:p>
      <w:pPr>
        <w:spacing w:line="324" w:lineRule="auto"/>
      </w:pPr>
      <w:r>
        <w:t>② 完成本地 MQTT Broker 脚本与发布、订阅测试脚本，成功收发 8 条测试消息，验证最小通信链路可用。</w:t>
      </w:r>
    </w:p>
    <w:p>
      <w:r>
        <w:rPr>
          <w:b/>
        </w:rPr>
        <w:t>6. 明日计划</w:t>
      </w:r>
    </w:p>
    <w:p>
      <w:pPr>
        <w:spacing w:line="324" w:lineRule="auto"/>
      </w:pPr>
      <w:r>
        <w:t>① 实现 PC 模拟环境监测节点，支持多类数据与多种参数配置。</w:t>
      </w:r>
    </w:p>
    <w:p>
      <w:pPr>
        <w:spacing w:line="324" w:lineRule="auto"/>
      </w:pPr>
      <w:r>
        <w:t>② 实现 Web 监控端的订阅与实时显示功能。</w:t>
      </w:r>
    </w:p>
    <w:p>
      <w:pPr>
        <w:pBdr>
          <w:bottom w:val="single" w:sz="6" w:space="1" w:color="auto"/>
        </w:pBdr>
        <w:spacing w:after="120"/>
      </w:pPr>
    </w:p>
    <w:p>
      <w:pPr>
        <w:pStyle w:val="3"/>
      </w:pPr>
      <w:r>
        <w:t>第 3 个工作日：PC 模拟节点与 Web 监控端实现</w:t>
      </w:r>
    </w:p>
    <w:p>
      <w:r>
        <w:t>日期：2026年6月10日</w:t>
      </w:r>
    </w:p>
    <w:p>
      <w:r>
        <w:rPr>
          <w:b/>
        </w:rPr>
        <w:t>1. 今日主要工作内容</w:t>
      </w:r>
    </w:p>
    <w:p>
      <w:pPr>
        <w:spacing w:line="324" w:lineRule="auto"/>
      </w:pPr>
      <w:r>
        <w:t>今天是中期检查前的最后一个工作日，目标是让“模拟节点 → MQTT Broker → 监控端显示”的完整软件链路真正跑起来，为中期检查提供可演示、可验证的成果。我集中实现了软件侧两个核心模块——PC 模拟环境监测节点和 Web 监控端，并审查、合并了队友提交的 ESP32 硬件设计文档。</w:t>
      </w:r>
    </w:p>
    <w:p>
      <w:pPr>
        <w:spacing w:line="324" w:lineRule="auto"/>
      </w:pPr>
      <w:r>
        <w:t>在实现中我特别关注两点：一是模拟数据要平滑、贴近真实环境，不能是无规律的乱跳；二是监控端要能在不刷新页面的情况下实时更新。这两点直接决定了演示效果与后续真机接入的体验。</w:t>
      </w:r>
    </w:p>
    <w:p>
      <w:r>
        <w:rPr>
          <w:b/>
        </w:rPr>
        <w:t>2. 本人完成的具体任务</w:t>
      </w:r>
    </w:p>
    <w:p>
      <w:pPr>
        <w:spacing w:line="324" w:lineRule="auto"/>
      </w:pPr>
      <w:r>
        <w:t>① 实现 PC 模拟节点模块 sim_node.py，支持节点编号、数据类型、上传周期、QoS 与消息格式等命令行参数配置，便于灵活模拟不同场景。</w:t>
      </w:r>
    </w:p>
    <w:p>
      <w:pPr>
        <w:spacing w:line="324" w:lineRule="auto"/>
      </w:pPr>
      <w:r>
        <w:t>② 采用均值回归随机游走算法生成温度、湿度、光照、噪声等模拟数据：每一步数据向基准值回归并叠加高斯噪声，使其在合理范围内平滑漂移、贴近真实环境。</w:t>
      </w:r>
    </w:p>
    <w:p>
      <w:pPr>
        <w:spacing w:line="324" w:lineRule="auto"/>
      </w:pPr>
      <w:r>
        <w:t>③ 实现断线自动重连与 QoS 1 离线消息排队补发，并通过双节点并发上传、Broker 重启等场景验证了重连与补发能力。</w:t>
      </w:r>
    </w:p>
    <w:p>
      <w:pPr>
        <w:spacing w:line="324" w:lineRule="auto"/>
      </w:pPr>
      <w:r>
        <w:t>④ 实现 Web 监控端模块 web_monitor.py，基于 Flask 提供页面、用 paho-mqtt 订阅 env_monitor/+/+，通过 SSE 把更新实时推送到浏览器，页面无需手动刷新即可更新。</w:t>
      </w:r>
    </w:p>
    <w:p>
      <w:pPr>
        <w:spacing w:line="324" w:lineRule="auto"/>
      </w:pPr>
      <w:r>
        <w:t>⑤ 实现节点编号、数据类型中文映射、数值、单位、上传与接收时间的实时显示，记录毫秒级接收日志，并对超过 15 秒无数据的条目自动标记为离线/过期。</w:t>
      </w:r>
    </w:p>
    <w:p>
      <w:pPr>
        <w:spacing w:line="324" w:lineRule="auto"/>
      </w:pPr>
      <w:r>
        <w:t>⑥ 编写 PC 模拟节点与 Web 监控端的运行验证文档；审查并合并队友孙博宇提交的两个 ESP32 设计 PR，合并前指出文件名与数据类型口径问题。</w:t>
      </w:r>
    </w:p>
    <w:p>
      <w:r>
        <w:rPr>
          <w:b/>
        </w:rPr>
        <w:t>3. 遇到的问题</w:t>
      </w:r>
    </w:p>
    <w:p>
      <w:pPr>
        <w:spacing w:line="324" w:lineRule="auto"/>
      </w:pPr>
      <w:r>
        <w:t>① 最初用纯随机数生成模拟数据，曲线无规律剧烈跳变，完全不像真实环境数据，演示效果差。</w:t>
      </w:r>
    </w:p>
    <w:p>
      <w:pPr>
        <w:spacing w:line="324" w:lineRule="auto"/>
      </w:pPr>
      <w:r>
        <w:t>② Web 监控端需要在不刷新页面的前提下实时更新各节点数据，普通的定时刷新既不实时又浪费请求。</w:t>
      </w:r>
    </w:p>
    <w:p>
      <w:r>
        <w:rPr>
          <w:b/>
        </w:rPr>
        <w:t>4. 解决方法</w:t>
      </w:r>
    </w:p>
    <w:p>
      <w:pPr>
        <w:spacing w:line="324" w:lineRule="auto"/>
      </w:pPr>
      <w:r>
        <w:t>① 改用均值回归随机游走模型，引入基准值与回归系数，使每一步数据围绕基准平滑变化，曲线自然、接近真实采集。</w:t>
      </w:r>
    </w:p>
    <w:p>
      <w:pPr>
        <w:spacing w:line="324" w:lineRule="auto"/>
      </w:pPr>
      <w:r>
        <w:t>② 采用 SSE（Server-Sent Events）服务器推送技术，由后端在收到新消息时主动把数据推给浏览器，实现真正的实时更新且开销很小。</w:t>
      </w:r>
    </w:p>
    <w:p>
      <w:r>
        <w:rPr>
          <w:b/>
        </w:rPr>
        <w:t>5. 今日成果</w:t>
      </w:r>
    </w:p>
    <w:p>
      <w:pPr>
        <w:spacing w:line="324" w:lineRule="auto"/>
      </w:pPr>
      <w:r>
        <w:t>① 完成 PC 模拟节点模块及验证文档（Issue #16）、Web 监控端模块及验证文档（Issue #18）。</w:t>
      </w:r>
    </w:p>
    <w:p>
      <w:pPr>
        <w:spacing w:line="324" w:lineRule="auto"/>
      </w:pPr>
      <w:r>
        <w:t>② 打通了“模拟节点 → Broker → 监控端网页显示”的完整软件链路，可用于中期检查演示。</w:t>
      </w:r>
    </w:p>
    <w:p>
      <w:pPr>
        <w:spacing w:line="324" w:lineRule="auto"/>
      </w:pPr>
      <w:r>
        <w:t>③ 完成队友两个 ESP32 设计 PR 的审查与合并，保证硬件文档与软件口径一致。</w:t>
      </w:r>
    </w:p>
    <w:p>
      <w:r>
        <w:rPr>
          <w:b/>
        </w:rPr>
        <w:t>6. 明日计划</w:t>
      </w:r>
    </w:p>
    <w:p>
      <w:pPr>
        <w:spacing w:line="324" w:lineRule="auto"/>
      </w:pPr>
      <w:r>
        <w:t>① 参加课程设计中期检查，汇报当前进展与软件链路成果。</w:t>
      </w:r>
    </w:p>
    <w:p>
      <w:pPr>
        <w:spacing w:line="324" w:lineRule="auto"/>
      </w:pPr>
      <w:r>
        <w:t>② 根据老师的检查意见调整后续方案与重点。</w:t>
      </w:r>
    </w:p>
    <w:p>
      <w:pPr>
        <w:pBdr>
          <w:bottom w:val="single" w:sz="6" w:space="1" w:color="auto"/>
        </w:pBdr>
        <w:spacing w:after="120"/>
      </w:pPr>
    </w:p>
    <w:p>
      <w:pPr>
        <w:pStyle w:val="3"/>
      </w:pPr>
      <w:r>
        <w:t>第 4 个工作日：中期检查、负载建模、MQTT 升级与性能实验</w:t>
      </w:r>
    </w:p>
    <w:p>
      <w:r>
        <w:t>日期：2026年6月11日</w:t>
      </w:r>
    </w:p>
    <w:p>
      <w:r>
        <w:rPr>
          <w:b/>
        </w:rPr>
        <w:t>1. 今日主要工作内容</w:t>
      </w:r>
    </w:p>
    <w:p>
      <w:pPr>
        <w:spacing w:line="324" w:lineRule="auto"/>
      </w:pPr>
      <w:r>
        <w:t>今天上午参加了课程设计中期检查。老师指出当前方案虽然功能完整，但还需进一步体现“方案要由需求驱动”和“要充分考虑成本”两点要求，不能一味追求最强。这让我重新审视项目：与其堆功能，不如回答一个更有工程意义的问题——在满足采集需求与服务质量的前提下，网络层服务器所需的最小资源、也就是最低成本是多少。</w:t>
      </w:r>
    </w:p>
    <w:p>
      <w:pPr>
        <w:spacing w:line="324" w:lineRule="auto"/>
      </w:pPr>
      <w:r>
        <w:t>下午围绕老师的反馈重新梳理了后续工作，确定了“需求建模 → 实验验证 → 需求计算器”的新主线，并开始密集推进网络负载建模、Broker 方案升级与性能实验。由于本地 Windows 笔记本不适合做几万连接的压测，我还租用了一台阿里云服务器作为实验台架。</w:t>
      </w:r>
    </w:p>
    <w:p>
      <w:r>
        <w:rPr>
          <w:b/>
        </w:rPr>
        <w:t>2. 本人完成的具体任务</w:t>
      </w:r>
    </w:p>
    <w:p>
      <w:pPr>
        <w:spacing w:line="324" w:lineRule="auto"/>
      </w:pPr>
      <w:r>
        <w:t>① 完成中期检查汇报，并根据老师反馈确定后续主线，建立“需求参数 → 网络负载 → 服务器配置 → 成本”的通用计算方法。</w:t>
      </w:r>
    </w:p>
    <w:p>
      <w:pPr>
        <w:spacing w:line="324" w:lineRule="auto"/>
      </w:pPr>
      <w:r>
        <w:t>② 完成《网络负载与服务器配置计算方法建模》文档（Issue #24），建立计算公式、六场景参数表与待实验校准的系数清单，把“选多大服务器”变成可由需求推导的过程。</w:t>
      </w:r>
    </w:p>
    <w:p>
      <w:pPr>
        <w:spacing w:line="324" w:lineRule="auto"/>
      </w:pPr>
      <w:r>
        <w:t>③ 完成 MQTT 方案升级（Issue #25）：Broker 由实验性的 amqtt 升级为生产级 EMQX 5.8.9，客户端升级到 MQTT 5.0（启用 Topic Alias、会话过期），并新增 json、json-min、msgpack 三种 payload 格式以研究带宽与成本。</w:t>
      </w:r>
    </w:p>
    <w:p>
      <w:pPr>
        <w:spacing w:line="324" w:lineRule="auto"/>
      </w:pPr>
      <w:r>
        <w:t>④ 租用一台阿里云服务器（8 核 32 GB）作为实验台架，部署 EMQX 与压测工具 emqtt_bench，并完成文件句柄上限等系统调优。</w:t>
      </w:r>
    </w:p>
    <w:p>
      <w:pPr>
        <w:spacing w:line="324" w:lineRule="auto"/>
      </w:pPr>
      <w:r>
        <w:t>⑤ 完成性能实验（Issue #27）：协议开销抓包矩阵、EMQX 容量与吞吐压测（5 万连接、5 万条每秒）、amqtt 对照实验、跨公网延迟实测，并把实测系数回填到建模文档。</w:t>
      </w:r>
    </w:p>
    <w:p>
      <w:pPr>
        <w:spacing w:line="324" w:lineRule="auto"/>
      </w:pPr>
      <w:r>
        <w:t>⑥ 完成需求计算器初版（Issue #33）：在监控端新增 /calculator 页面，输入需求参数即可输出网络负载、服务器配置与网络侧成本，与建模算例互验一致。</w:t>
      </w:r>
    </w:p>
    <w:p>
      <w:pPr>
        <w:spacing w:line="324" w:lineRule="auto"/>
      </w:pPr>
      <w:r>
        <w:t>⑦ 补充场景实景压测与稳定性验证：2 万连接持续 30 分钟零掉线、转发送达 99.96%，断线重连约 5.2 秒。</w:t>
      </w:r>
    </w:p>
    <w:p>
      <w:r>
        <w:rPr>
          <w:b/>
        </w:rPr>
        <w:t>3. 遇到的问题</w:t>
      </w:r>
    </w:p>
    <w:p>
      <w:pPr>
        <w:spacing w:line="324" w:lineRule="auto"/>
      </w:pPr>
      <w:r>
        <w:t>① 老师指出原方案缺少明确的需求依据与成本分析，停留在“能用”的层面，工程性不足。</w:t>
      </w:r>
    </w:p>
    <w:p>
      <w:pPr>
        <w:spacing w:line="324" w:lineRule="auto"/>
      </w:pPr>
      <w:r>
        <w:t>② 本地 Windows 笔记本既不适合做几万连接的压测，作为容量基准也不具备“可购买配置”的代表性，结论难以服人。</w:t>
      </w:r>
    </w:p>
    <w:p>
      <w:r>
        <w:rPr>
          <w:b/>
        </w:rPr>
        <w:t>4. 解决方法</w:t>
      </w:r>
    </w:p>
    <w:p>
      <w:pPr>
        <w:spacing w:line="324" w:lineRule="auto"/>
      </w:pPr>
      <w:r>
        <w:t>① 建立通用计算模型，把方案选择变成可由需求参数推导的过程，而不是拍脑袋决定，从而把“做系统”转化为“求一个有约束的最小成本”。</w:t>
      </w:r>
    </w:p>
    <w:p>
      <w:pPr>
        <w:spacing w:line="324" w:lineRule="auto"/>
      </w:pPr>
      <w:r>
        <w:t>② 引入 amqtt 作为对照组，与 EMQX 在相同条件下压测，用数据对比客观说明 EMQX 的容量与吞吐优势。</w:t>
      </w:r>
    </w:p>
    <w:p>
      <w:pPr>
        <w:spacing w:line="324" w:lineRule="auto"/>
      </w:pPr>
      <w:r>
        <w:t>③ 租用配置明确的阿里云服务器作为实验台架，使容量曲线可以直接对应“什么配置能支撑多少节点、成本是多少”。</w:t>
      </w:r>
    </w:p>
    <w:p>
      <w:r>
        <w:rPr>
          <w:b/>
        </w:rPr>
        <w:t>5. 今日成果</w:t>
      </w:r>
    </w:p>
    <w:p>
      <w:pPr>
        <w:spacing w:line="324" w:lineRule="auto"/>
      </w:pPr>
      <w:r>
        <w:t>① 完成中期检查汇报与《网络负载与成本建模》文档。</w:t>
      </w:r>
    </w:p>
    <w:p>
      <w:pPr>
        <w:spacing w:line="324" w:lineRule="auto"/>
      </w:pPr>
      <w:r>
        <w:t>② 完成 MQTT 方案升级到 EMQX 5.8.9 与 MQTT 5.0、三种消息格式。</w:t>
      </w:r>
    </w:p>
    <w:p>
      <w:pPr>
        <w:spacing w:line="324" w:lineRule="auto"/>
      </w:pPr>
      <w:r>
        <w:t>③ 完成协议开销、容量、吞吐、对照与延迟等性能实验，取得数据并校准模型系数。</w:t>
      </w:r>
    </w:p>
    <w:p>
      <w:pPr>
        <w:spacing w:line="324" w:lineRule="auto"/>
      </w:pPr>
      <w:r>
        <w:t>④ 完成需求计算器初版，实现需求到配置、成本的自动估算。</w:t>
      </w:r>
    </w:p>
    <w:p>
      <w:r>
        <w:rPr>
          <w:b/>
        </w:rPr>
        <w:t>6. 明日计划</w:t>
      </w:r>
    </w:p>
    <w:p>
      <w:pPr>
        <w:spacing w:line="324" w:lineRule="auto"/>
      </w:pPr>
      <w:r>
        <w:t>① 补充满负载爬坡与 QoS×丢包实验，使内存建模与可靠性分析更严谨。</w:t>
      </w:r>
    </w:p>
    <w:p>
      <w:pPr>
        <w:spacing w:line="324" w:lineRule="auto"/>
      </w:pPr>
      <w:r>
        <w:t>② 进一步完善需求计算器的展示与可视化效果。</w:t>
      </w:r>
    </w:p>
    <w:p>
      <w:pPr>
        <w:pBdr>
          <w:bottom w:val="single" w:sz="6" w:space="1" w:color="auto"/>
        </w:pBdr>
        <w:spacing w:after="120"/>
      </w:pPr>
    </w:p>
    <w:p>
      <w:pPr>
        <w:pStyle w:val="3"/>
      </w:pPr>
      <w:r>
        <w:t>第 5 个工作日：补充性能实验与需求计算器升级</w:t>
      </w:r>
    </w:p>
    <w:p>
      <w:r>
        <w:t>日期：2026年6月12日</w:t>
      </w:r>
    </w:p>
    <w:p>
      <w:r>
        <w:rPr>
          <w:b/>
        </w:rPr>
        <w:t>1. 今日主要工作内容</w:t>
      </w:r>
    </w:p>
    <w:p>
      <w:pPr>
        <w:spacing w:line="324" w:lineRule="auto"/>
      </w:pPr>
      <w:r>
        <w:t>今天主要做两方面工作：一是补充和完善性能实验，使建模更严谨、经得起追问；二是为 ESP32 硬件节点接入做网络侧的准备与对接规范。前者解决“估算是否准确”的问题，后者打通“硬件如何接进来”的问题。</w:t>
      </w:r>
    </w:p>
    <w:p>
      <w:pPr>
        <w:spacing w:line="324" w:lineRule="auto"/>
      </w:pPr>
      <w:r>
        <w:t>在实验中我重点验证了内存随负载的变化规律，并据此改进了计算器的内存模型；同时把硬件接入所需的类型映射、容量约束与对接规范都补齐，让负责硬件的队友可以照着实现 MQTT 上传。</w:t>
      </w:r>
    </w:p>
    <w:p>
      <w:r>
        <w:rPr>
          <w:b/>
        </w:rPr>
        <w:t>2. 本人完成的具体任务</w:t>
      </w:r>
    </w:p>
    <w:p>
      <w:pPr>
        <w:spacing w:line="324" w:lineRule="auto"/>
      </w:pPr>
      <w:r>
        <w:t>① 补充满负载连接爬坡实验，发现满负载下每连接内存约为空闲时的 2.46 倍，说明此前用单一安全系数估算内存偏乐观、不够稳妥。</w:t>
      </w:r>
    </w:p>
    <w:p>
      <w:pPr>
        <w:spacing w:line="324" w:lineRule="auto"/>
      </w:pPr>
      <w:r>
        <w:t>② 补充 QoS×丢包率实验：在 0~15% 人为丢包下测三种 QoS 的到达率与延迟，发现 MQTT 跑在 TCP 之上、由 TCP 重传兜底，三种 QoS 在持续连接下到达率都接近 100%，代价是延迟随丢包率上升。</w:t>
      </w:r>
    </w:p>
    <w:p>
      <w:pPr>
        <w:spacing w:line="324" w:lineRule="auto"/>
      </w:pPr>
      <w:r>
        <w:t>③ 把连接爬坡实验加密到 10 个档位，使内存拟合曲线更扎实、外推更可信。</w:t>
      </w:r>
    </w:p>
    <w:p>
      <w:pPr>
        <w:spacing w:line="324" w:lineRule="auto"/>
      </w:pPr>
      <w:r>
        <w:t>④ 升级需求计算器：内存估算从单一模型改为“空闲下界 ~ 满负载上界”双模型，选型按满负载上界并留安全系数；前端改为深色仪表盘，用图表直观展示模型曲线与实测散点的对照。</w:t>
      </w:r>
    </w:p>
    <w:p>
      <w:pPr>
        <w:spacing w:line="324" w:lineRule="auto"/>
      </w:pPr>
      <w:r>
        <w:t>⑤ 完成 ESP32 接入的网络侧准备（Issue #34）：在监控端与模拟节点新增可燃气体、土壤湿度类型映射，建模文档新增接入层容量约束，计算器新增所需 Wi-Fi AP 数输出。</w:t>
      </w:r>
    </w:p>
    <w:p>
      <w:pPr>
        <w:spacing w:line="324" w:lineRule="auto"/>
      </w:pPr>
      <w:r>
        <w:t>⑥ 整理 ESP32 到网络端的对接规范，明确主题、QoS、格式与字段，供负责硬件的队友实现 MQTT 上传时直接参照；并针对队友反馈的配网网页不稳定问题（Issue #35）分析原因、建议改用成熟的 WiFiManager 库。</w:t>
      </w:r>
    </w:p>
    <w:p>
      <w:r>
        <w:rPr>
          <w:b/>
        </w:rPr>
        <w:t>3. 遇到的问题</w:t>
      </w:r>
    </w:p>
    <w:p>
      <w:pPr>
        <w:spacing w:line="324" w:lineRule="auto"/>
      </w:pPr>
      <w:r>
        <w:t>① 早期内存模型用单一安全系数估算，与满负载实测差距较大，可能导致选型偏小、上线后内存吃紧。</w:t>
      </w:r>
    </w:p>
    <w:p>
      <w:pPr>
        <w:spacing w:line="324" w:lineRule="auto"/>
      </w:pPr>
      <w:r>
        <w:t>② 队友 ESP32 固件采集的传感器类型与监控端原有的数据类型不一致，直接上传会显示异常或无法识别。</w:t>
      </w:r>
    </w:p>
    <w:p>
      <w:r>
        <w:rPr>
          <w:b/>
        </w:rPr>
        <w:t>4. 解决方法</w:t>
      </w:r>
    </w:p>
    <w:p>
      <w:pPr>
        <w:spacing w:line="324" w:lineRule="auto"/>
      </w:pPr>
      <w:r>
        <w:t>① 专门做满负载爬坡实验得到满负载内存曲线，把计算器内存升级为“空闲~满负载”双模型，选型按满负载上界取值，避免低估。</w:t>
      </w:r>
    </w:p>
    <w:p>
      <w:pPr>
        <w:spacing w:line="324" w:lineRule="auto"/>
      </w:pPr>
      <w:r>
        <w:t>② 在监控端与模拟节点补充对应的类型映射与默认单位，并形成统一对接规范，使队友的数据能被正确解析与显示。</w:t>
      </w:r>
    </w:p>
    <w:p>
      <w:r>
        <w:rPr>
          <w:b/>
        </w:rPr>
        <w:t>5. 今日成果</w:t>
      </w:r>
    </w:p>
    <w:p>
      <w:pPr>
        <w:spacing w:line="324" w:lineRule="auto"/>
      </w:pPr>
      <w:r>
        <w:t>① 完成满负载爬坡与 QoS×丢包两项补充实验，新增相应实验图表。</w:t>
      </w:r>
    </w:p>
    <w:p>
      <w:pPr>
        <w:spacing w:line="324" w:lineRule="auto"/>
      </w:pPr>
      <w:r>
        <w:t>② 完成需求计算器的内存双模型升级与前端可视化改进。</w:t>
      </w:r>
    </w:p>
    <w:p>
      <w:pPr>
        <w:spacing w:line="324" w:lineRule="auto"/>
      </w:pPr>
      <w:r>
        <w:t>③ 完成 ESP32 接入的网络侧准备与对接规范，扫清硬件接入的软件侧障碍。</w:t>
      </w:r>
    </w:p>
    <w:p>
      <w:r>
        <w:rPr>
          <w:b/>
        </w:rPr>
        <w:t>6. 明日计划</w:t>
      </w:r>
    </w:p>
    <w:p>
      <w:pPr>
        <w:spacing w:line="324" w:lineRule="auto"/>
      </w:pPr>
      <w:r>
        <w:t>① 搭建 ESP32 联调所需的服务器侧环境。</w:t>
      </w:r>
    </w:p>
    <w:p>
      <w:pPr>
        <w:spacing w:line="324" w:lineRule="auto"/>
      </w:pPr>
      <w:r>
        <w:t>② 用模拟节点端到端验证从设备到监控端的完整链路。</w:t>
      </w:r>
    </w:p>
    <w:p>
      <w:pPr>
        <w:pBdr>
          <w:bottom w:val="single" w:sz="6" w:space="1" w:color="auto"/>
        </w:pBdr>
        <w:spacing w:after="120"/>
      </w:pPr>
    </w:p>
    <w:p>
      <w:pPr>
        <w:pStyle w:val="3"/>
      </w:pPr>
      <w:r>
        <w:t>第 6 个工作日：EMQX 部署与端到端联调</w:t>
      </w:r>
    </w:p>
    <w:p>
      <w:r>
        <w:t>日期：2026年6月13日</w:t>
      </w:r>
    </w:p>
    <w:p>
      <w:r>
        <w:rPr>
          <w:b/>
        </w:rPr>
        <w:t>1. 今日主要工作内容</w:t>
      </w:r>
    </w:p>
    <w:p>
      <w:pPr>
        <w:spacing w:line="324" w:lineRule="auto"/>
      </w:pPr>
      <w:r>
        <w:t>今天主要搭建并验证 ESP32 接入所需的服务器侧环境。考虑到项目方案的主线 Broker 是 EMQX，为了让演示与报告保持一致，我在本地用 Docker 部署了与压测同版本的 EMQX 5.8.9，由笔记本扮演“未来自建部署的服务器”，并用 PC 模拟节点完整验证了从设备到监控端的链路。</w:t>
      </w:r>
    </w:p>
    <w:p>
      <w:pPr>
        <w:spacing w:line="324" w:lineRule="auto"/>
      </w:pPr>
      <w:r>
        <w:t>这一天的关键是“演示环境与方案叙事保持一致”：之前为图方便用过 Mosquitto，但报告里讲的是 EMQX，若演示用另一套会前后矛盾。因此我把演示也统一到 EMQX，并把部署、联调、排错过程写成文档，方便答辩复现。</w:t>
      </w:r>
    </w:p>
    <w:p>
      <w:r>
        <w:rPr>
          <w:b/>
        </w:rPr>
        <w:t>2. 本人完成的具体任务</w:t>
      </w:r>
    </w:p>
    <w:p>
      <w:pPr>
        <w:spacing w:line="324" w:lineRule="auto"/>
      </w:pPr>
      <w:r>
        <w:t>① 在本地用 Docker 部署 EMQX 5.8.9，映射 MQTT 端口 1883 与 Dashboard 端口 18083，与云端压测同版本，保持方案一致并自带可视化面板。</w:t>
      </w:r>
    </w:p>
    <w:p>
      <w:pPr>
        <w:spacing w:line="324" w:lineRule="auto"/>
      </w:pPr>
      <w:r>
        <w:t>② 配置 Windows 移动热点组网，使 ESP32 与笔记本处于同一局域网，笔记本在热点网络中的固定 IP 192.168.137.1 作为 Broker 地址。</w:t>
      </w:r>
    </w:p>
    <w:p>
      <w:pPr>
        <w:spacing w:line="324" w:lineRule="auto"/>
      </w:pPr>
      <w:r>
        <w:t>③ 用 PC 模拟节点模拟 ESP32（完整 JSON 格式、MQTT 3.1.1），经移动热点 IP 连接 EMQX，端到端验证服务器侧链路全部跑通，监控端正确显示温度、湿度、可燃气体与土壤湿度。</w:t>
      </w:r>
    </w:p>
    <w:p>
      <w:pPr>
        <w:spacing w:line="324" w:lineRule="auto"/>
      </w:pPr>
      <w:r>
        <w:t>④ 编写《EMQX 部署与联调说明》文档，记录首次部署、日常启停、联调准备、验证流程与常见问题排查，便于队友与答辩时照做。</w:t>
      </w:r>
    </w:p>
    <w:p>
      <w:r>
        <w:rPr>
          <w:b/>
        </w:rPr>
        <w:t>3. 遇到的问题</w:t>
      </w:r>
    </w:p>
    <w:p>
      <w:pPr>
        <w:spacing w:line="324" w:lineRule="auto"/>
      </w:pPr>
      <w:r>
        <w:t>① 演示到底用本地 Mosquitto 还是 EMQX 的一致性问题：之前为方便用了 Mosquitto，但报告主线讲的是 EMQX。</w:t>
      </w:r>
    </w:p>
    <w:p>
      <w:pPr>
        <w:spacing w:line="324" w:lineRule="auto"/>
      </w:pPr>
      <w:r>
        <w:t>② 用 Docker 拉取 EMQX 镜像时报错，国内访问 Docker Hub 不稳定。</w:t>
      </w:r>
    </w:p>
    <w:p>
      <w:pPr>
        <w:spacing w:line="324" w:lineRule="auto"/>
      </w:pPr>
      <w:r>
        <w:t>③ 担心 Docker 端口映射只绑定本机回环，导致 ESP32 经移动热点连不上 Broker。</w:t>
      </w:r>
    </w:p>
    <w:p>
      <w:r>
        <w:rPr>
          <w:b/>
        </w:rPr>
        <w:t>4. 解决方法</w:t>
      </w:r>
    </w:p>
    <w:p>
      <w:pPr>
        <w:spacing w:line="324" w:lineRule="auto"/>
      </w:pPr>
      <w:r>
        <w:t>① 决定演示也统一用 EMQX，用 Docker 在本地部署与压测同版本的 EMQX 5.8.9，既保持方案一致，又自带 Dashboard 便于答辩展示。</w:t>
      </w:r>
    </w:p>
    <w:p>
      <w:pPr>
        <w:spacing w:line="324" w:lineRule="auto"/>
      </w:pPr>
      <w:r>
        <w:t>② 登录 Docker Hub 后重新拉取镜像成功，解决了访问不稳定的问题。</w:t>
      </w:r>
    </w:p>
    <w:p>
      <w:pPr>
        <w:spacing w:line="324" w:lineRule="auto"/>
      </w:pPr>
      <w:r>
        <w:t>③ 用模拟节点经移动热点 IP（192.168.137.1）连接验证，确认 Docker 端口映射对外可见、外部设备能够连入。</w:t>
      </w:r>
    </w:p>
    <w:p>
      <w:r>
        <w:rPr>
          <w:b/>
        </w:rPr>
        <w:t>5. 今日成果</w:t>
      </w:r>
    </w:p>
    <w:p>
      <w:pPr>
        <w:spacing w:line="324" w:lineRule="auto"/>
      </w:pPr>
      <w:r>
        <w:t>① 完成本地 EMQX 5.8.9 的 Docker 部署，演示环境与方案、压测版本保持一致。</w:t>
      </w:r>
    </w:p>
    <w:p>
      <w:pPr>
        <w:spacing w:line="324" w:lineRule="auto"/>
      </w:pPr>
      <w:r>
        <w:t>② 完成从设备到监控端的端到端联调验证，服务器侧链路全部跑通。</w:t>
      </w:r>
    </w:p>
    <w:p>
      <w:pPr>
        <w:spacing w:line="324" w:lineRule="auto"/>
      </w:pPr>
      <w:r>
        <w:t>③ 完成《EMQX 部署与联调说明》文档，沉淀部署与排错经验。</w:t>
      </w:r>
    </w:p>
    <w:p>
      <w:r>
        <w:rPr>
          <w:b/>
        </w:rPr>
        <w:t>6. 明日计划</w:t>
      </w:r>
    </w:p>
    <w:p>
      <w:pPr>
        <w:spacing w:line="324" w:lineRule="auto"/>
      </w:pPr>
      <w:r>
        <w:t>① 等负责硬件的队友完成 ESP32 配网与 MQTT 上传后，进行真机联调。</w:t>
      </w:r>
    </w:p>
    <w:p>
      <w:pPr>
        <w:spacing w:line="324" w:lineRule="auto"/>
      </w:pPr>
      <w:r>
        <w:t>② 继续推进课程设计报告与答辩材料的整理。</w:t>
      </w:r>
    </w:p>
    <w:p>
      <w:pPr>
        <w:pBdr>
          <w:bottom w:val="single" w:sz="6" w:space="1" w:color="auto"/>
        </w:pBdr>
        <w:spacing w:after="120"/>
      </w:pPr>
    </w:p>
    <w:p>
      <w:pPr>
        <w:pStyle w:val="3"/>
      </w:pPr>
      <w:r>
        <w:t>第 7 个工作日：ESP32 室外长测的服务器侧记录与分析</w:t>
      </w:r>
    </w:p>
    <w:p>
      <w:r>
        <w:t>日期：2026年6月15日</w:t>
      </w:r>
    </w:p>
    <w:p>
      <w:r>
        <w:rPr>
          <w:b/>
        </w:rPr>
        <w:t>1. 今日主要工作内容</w:t>
      </w:r>
    </w:p>
    <w:p>
      <w:pPr>
        <w:spacing w:line="324" w:lineRule="auto"/>
      </w:pPr>
      <w:r>
        <w:t>今天配合硬件队友的 ESP32 室外全天长测，负责服务器侧的数据记录与分析。考虑到真机测试需要从早到晚持续接收、而本地不便长时间开机，我在云服务器上用持久会话记录器 7×24 接收并落盘，事后再对约 15 小时的数据做到达率统计与曲线分析。</w:t>
      </w:r>
    </w:p>
    <w:p>
      <w:pPr>
        <w:spacing w:line="324" w:lineRule="auto"/>
      </w:pPr>
      <w:r>
        <w:t>这一天的重点不只是“收到数据”，更是“把数据讲清楚”：要统计到达率、画出各类数据的全天曲线、核对其是否符合当天天气与传感器特性，并定位光照数据异常到底出在硬件端还是订阅端。</w:t>
      </w:r>
    </w:p>
    <w:p>
      <w:r>
        <w:rPr>
          <w:b/>
        </w:rPr>
        <w:t>2. 本人完成的具体任务</w:t>
      </w:r>
    </w:p>
    <w:p>
      <w:pPr>
        <w:spacing w:line="324" w:lineRule="auto"/>
      </w:pPr>
      <w:r>
        <w:t>① 在云服务器部署 cloud_recorder.py（QoS 1、持久会话、systemd 常驻接收），持续记录 ESP32 上报的全部主题数据，避免漏收。</w:t>
      </w:r>
    </w:p>
    <w:p>
      <w:pPr>
        <w:spacing w:line="324" w:lineRule="auto"/>
      </w:pPr>
      <w:r>
        <w:t>② 统计全天到达率：约 15 小时共上报 8547 条，整体到达率 95.0%，期间发生 2 次网络中断；并明确“网络短时中断计入、外部停机剔除”的统计口径。</w:t>
      </w:r>
    </w:p>
    <w:p>
      <w:pPr>
        <w:spacing w:line="324" w:lineRule="auto"/>
      </w:pPr>
      <w:r>
        <w:t>③ 绘制温度、湿度、可燃气体、土壤湿度四类数据的全天曲线，核对其日变化形态——温度清晨约 26℃、午后峰值约 39℃、傍晚回落，与当日西安晴热高温天气高度吻合，验证了数据真实性。</w:t>
      </w:r>
    </w:p>
    <w:p>
      <w:pPr>
        <w:spacing w:line="324" w:lineRule="auto"/>
      </w:pPr>
      <w:r>
        <w:t>④ 定位光照 BH1750 异常（白天约 99% 读数为 -1）：通过比对串口输出与服务器订阅记录，排除监控端与订阅链路的问题，判断为 ESP32 端 I2C 接线接触不良所致（模块本身正常）。</w:t>
      </w:r>
    </w:p>
    <w:p>
      <w:pPr>
        <w:spacing w:line="324" w:lineRule="auto"/>
      </w:pPr>
      <w:r>
        <w:t>⑤ 整理并入库测试报告、全天曲线图与记录、分析脚本，形成完整的服务器侧测试证据。</w:t>
      </w:r>
    </w:p>
    <w:p>
      <w:r>
        <w:rPr>
          <w:b/>
        </w:rPr>
        <w:t>3. 遇到的问题</w:t>
      </w:r>
    </w:p>
    <w:p>
      <w:pPr>
        <w:spacing w:line="324" w:lineRule="auto"/>
      </w:pPr>
      <w:r>
        <w:t>① 光照数据白天几乎全为无效值（-1），夜间能连续读数十分钟后又掉，规律异常。</w:t>
      </w:r>
    </w:p>
    <w:p>
      <w:pPr>
        <w:spacing w:line="324" w:lineRule="auto"/>
      </w:pPr>
      <w:r>
        <w:t>② 真机测试需从早到晚持续接收，本地笔记本不便 7×24 长时间开机记录。</w:t>
      </w:r>
    </w:p>
    <w:p>
      <w:pPr>
        <w:spacing w:line="324" w:lineRule="auto"/>
      </w:pPr>
      <w:r>
        <w:t>③ 光照异常需要判断到底出在硬件采集端，还是出在 Broker 转发或监控端订阅。</w:t>
      </w:r>
    </w:p>
    <w:p>
      <w:r>
        <w:rPr>
          <w:b/>
        </w:rPr>
        <w:t>4. 解决方法</w:t>
      </w:r>
    </w:p>
    <w:p>
      <w:pPr>
        <w:spacing w:line="324" w:lineRule="auto"/>
      </w:pPr>
      <w:r>
        <w:t>① 在云端部署持久会话记录器常驻接收并落盘，本地无需开机，保证长测期间不漏收数据。</w:t>
      </w:r>
    </w:p>
    <w:p>
      <w:pPr>
        <w:spacing w:line="324" w:lineRule="auto"/>
      </w:pPr>
      <w:r>
        <w:t>② 通过比对串口原始读数与服务器订阅到的数据，确认监控端、订阅链路均正常，从而把问题定位到 ESP32 端 I2C 接触不良。</w:t>
      </w:r>
    </w:p>
    <w:p>
      <w:pPr>
        <w:spacing w:line="324" w:lineRule="auto"/>
      </w:pPr>
      <w:r>
        <w:t>③ 在统计到达率时区分“网络短时中断”（计入、靠 QoS1+重连扛住）与“外部停机”（剔除），使到达率口径客观合理。</w:t>
      </w:r>
    </w:p>
    <w:p>
      <w:r>
        <w:rPr>
          <w:b/>
        </w:rPr>
        <w:t>5. 今日成果</w:t>
      </w:r>
    </w:p>
    <w:p>
      <w:pPr>
        <w:spacing w:line="324" w:lineRule="auto"/>
      </w:pPr>
      <w:r>
        <w:t>① 完成约 15 小时的服务器侧记录与分析，四类数据合理、整体到达率 95.0% 达标。</w:t>
      </w:r>
    </w:p>
    <w:p>
      <w:pPr>
        <w:spacing w:line="324" w:lineRule="auto"/>
      </w:pPr>
      <w:r>
        <w:t>② 定位了光照异常的根因为硬件端接线接触不良，为后续修复指明方向。</w:t>
      </w:r>
    </w:p>
    <w:p>
      <w:pPr>
        <w:spacing w:line="324" w:lineRule="auto"/>
      </w:pPr>
      <w:r>
        <w:t>③ 输出测试报告、全天曲线与记录/分析脚本，形成可复现的测试证据。</w:t>
      </w:r>
    </w:p>
    <w:p>
      <w:r>
        <w:rPr>
          <w:b/>
        </w:rPr>
        <w:t>6. 明日计划</w:t>
      </w:r>
    </w:p>
    <w:p>
      <w:pPr>
        <w:spacing w:line="324" w:lineRule="auto"/>
      </w:pPr>
      <w:r>
        <w:t>① 复核已有的性能与协议实验数据，确保与建模系数一致。</w:t>
      </w:r>
    </w:p>
    <w:p>
      <w:pPr>
        <w:spacing w:line="324" w:lineRule="auto"/>
      </w:pPr>
      <w:r>
        <w:t>② 待硬件接线修复后补测光照数据，并把云端记录器升级为持久服务。</w:t>
      </w:r>
    </w:p>
    <w:p>
      <w:pPr>
        <w:pBdr>
          <w:bottom w:val="single" w:sz="6" w:space="1" w:color="auto"/>
        </w:pBdr>
        <w:spacing w:after="120"/>
      </w:pPr>
    </w:p>
    <w:p>
      <w:pPr>
        <w:pStyle w:val="3"/>
      </w:pPr>
      <w:r>
        <w:t>第 8 个工作日：性能数据复核、光照修复与记录器持久化</w:t>
      </w:r>
    </w:p>
    <w:p>
      <w:r>
        <w:t>日期：2026年6月16日</w:t>
      </w:r>
    </w:p>
    <w:p>
      <w:r>
        <w:rPr>
          <w:b/>
        </w:rPr>
        <w:t>1. 今日主要工作内容</w:t>
      </w:r>
    </w:p>
    <w:p>
      <w:pPr>
        <w:spacing w:line="324" w:lineRule="auto"/>
      </w:pPr>
      <w:r>
        <w:t>今天主要做三件事：复核已有的性能与协议实验数据使结论扎实；配合硬件修复后补采光照数据并绘制曲线，证明传感器本身正常；把云端记录器升级为持久服务，避免服务器重启或欠费导致记录中断。同时为报告的工程分析章节梳理素材。</w:t>
      </w:r>
    </w:p>
    <w:p>
      <w:pPr>
        <w:spacing w:line="324" w:lineRule="auto"/>
      </w:pPr>
      <w:r>
        <w:t>其中记录器持久化是一个容易被忽视但很关键的工程细节——之前用临时方式启动，服务器一重启记录就丢了。把它做成开机自启、异常自动重启的常驻服务后，长测的可靠性才真正有保障。</w:t>
      </w:r>
    </w:p>
    <w:p>
      <w:r>
        <w:rPr>
          <w:b/>
        </w:rPr>
        <w:t>2. 本人完成的具体任务</w:t>
      </w:r>
    </w:p>
    <w:p>
      <w:pPr>
        <w:spacing w:line="324" w:lineRule="auto"/>
      </w:pPr>
      <w:r>
        <w:t>① 复核协议开销、容量与吞吐、QoS×丢包、跨公网延迟等实验的数据与图表，确认它们与建模文档中的系数一致、可相互印证。</w:t>
      </w:r>
    </w:p>
    <w:p>
      <w:pPr>
        <w:spacing w:line="324" w:lineRule="auto"/>
      </w:pPr>
      <w:r>
        <w:t>② 在硬件队友重新接稳 BH1750 后，于服务器侧记录到夜间至清晨连续约 6 小时的有效光照数据（夜间 0 lux、日出后平滑爬升至约 305 lux），并绘制夜晨曲线，佐证模块本身正常、问题确在接线。</w:t>
      </w:r>
    </w:p>
    <w:p>
      <w:pPr>
        <w:spacing w:line="324" w:lineRule="auto"/>
      </w:pPr>
      <w:r>
        <w:t>③ 把云端记录器从临时单元升级为 systemd 持久服务（开机自启、异常自动重启），避免服务器重启或欠费停机后记录中断。</w:t>
      </w:r>
    </w:p>
    <w:p>
      <w:pPr>
        <w:spacing w:line="324" w:lineRule="auto"/>
      </w:pPr>
      <w:r>
        <w:t>④ 梳理报告所需的工程分析素材，从实时性、可靠性、可扩展性、成本与可维护性五个维度归纳系统特性与约束。</w:t>
      </w:r>
    </w:p>
    <w:p>
      <w:r>
        <w:rPr>
          <w:b/>
        </w:rPr>
        <w:t>3. 遇到的问题</w:t>
      </w:r>
    </w:p>
    <w:p>
      <w:pPr>
        <w:spacing w:line="324" w:lineRule="auto"/>
      </w:pPr>
      <w:r>
        <w:t>① 早期记录器以临时方式启动，服务器一旦重启或欠费停机，记录进程就会丢失、数据出现缺口。</w:t>
      </w:r>
    </w:p>
    <w:p>
      <w:pPr>
        <w:spacing w:line="324" w:lineRule="auto"/>
      </w:pPr>
      <w:r>
        <w:t>② 光照修复后，需要一段干净、连续的有效数据来佐证“BH1750 本身正常、之前是接线问题”。</w:t>
      </w:r>
    </w:p>
    <w:p>
      <w:r>
        <w:rPr>
          <w:b/>
        </w:rPr>
        <w:t>4. 解决方法</w:t>
      </w:r>
    </w:p>
    <w:p>
      <w:pPr>
        <w:spacing w:line="324" w:lineRule="auto"/>
      </w:pPr>
      <w:r>
        <w:t>① 把记录器改为 systemd 常驻服务并设置开机自启与失败自动重启，从机制上保证长测期间记录不中断。</w:t>
      </w:r>
    </w:p>
    <w:p>
      <w:pPr>
        <w:spacing w:line="324" w:lineRule="auto"/>
      </w:pPr>
      <w:r>
        <w:t>② 利用夜间至清晨光照平稳、便于连续观察的时段采集数据，得到一段完整且连续有效的光照曲线作为佐证。</w:t>
      </w:r>
    </w:p>
    <w:p>
      <w:r>
        <w:rPr>
          <w:b/>
        </w:rPr>
        <w:t>5. 今日成果</w:t>
      </w:r>
    </w:p>
    <w:p>
      <w:pPr>
        <w:spacing w:line="324" w:lineRule="auto"/>
      </w:pPr>
      <w:r>
        <w:t>① 完成性能与协议实验数据的复核，确认结论扎实、可相互印证。</w:t>
      </w:r>
    </w:p>
    <w:p>
      <w:pPr>
        <w:spacing w:line="324" w:lineRule="auto"/>
      </w:pPr>
      <w:r>
        <w:t>② 取得连续约 6 小时的有效光照夜晨曲线，证明 BH1750 修复后采集正常。</w:t>
      </w:r>
    </w:p>
    <w:p>
      <w:pPr>
        <w:spacing w:line="324" w:lineRule="auto"/>
      </w:pPr>
      <w:r>
        <w:t>③ 完成云端记录器的持久化升级，并备齐了工程分析章节的素材。</w:t>
      </w:r>
    </w:p>
    <w:p>
      <w:r>
        <w:rPr>
          <w:b/>
        </w:rPr>
        <w:t>6. 明日计划</w:t>
      </w:r>
    </w:p>
    <w:p>
      <w:pPr>
        <w:spacing w:line="324" w:lineRule="auto"/>
      </w:pPr>
      <w:r>
        <w:t>① 补做 MQTT 与 HTTP 的开销对比实验，为协议选型提供量化依据。</w:t>
      </w:r>
    </w:p>
    <w:p>
      <w:pPr>
        <w:spacing w:line="324" w:lineRule="auto"/>
      </w:pPr>
      <w:r>
        <w:t>② 完善 Web 监控端，并着手撰写、扩充课程设计报告。</w:t>
      </w:r>
    </w:p>
    <w:p>
      <w:pPr>
        <w:pBdr>
          <w:bottom w:val="single" w:sz="6" w:space="1" w:color="auto"/>
        </w:pBdr>
        <w:spacing w:after="120"/>
      </w:pPr>
    </w:p>
    <w:p>
      <w:pPr>
        <w:pStyle w:val="3"/>
      </w:pPr>
      <w:r>
        <w:t>第 9 个工作日：MQTT/HTTP 对比实验、监控端完善与报告撰写</w:t>
      </w:r>
    </w:p>
    <w:p>
      <w:r>
        <w:t>日期：2026年6月17日</w:t>
      </w:r>
    </w:p>
    <w:p>
      <w:r>
        <w:rPr>
          <w:b/>
        </w:rPr>
        <w:t>1. 今日主要工作内容</w:t>
      </w:r>
    </w:p>
    <w:p>
      <w:pPr>
        <w:spacing w:line="324" w:lineRule="auto"/>
      </w:pPr>
      <w:r>
        <w:t>今天的工作分三块：一是补做 MQTT 与 HTTP 的开销对比实验，为“为什么选 MQTT”提供量化依据；二是完善 Web 监控端，包括界面美化与新增“选择订阅”功能；三是撰写并大幅扩充课程设计报告。三件事都指向同一个目标——让方案的每个选择都有数据和论证支撑。</w:t>
      </w:r>
    </w:p>
    <w:p>
      <w:pPr>
        <w:spacing w:line="324" w:lineRule="auto"/>
      </w:pPr>
      <w:r>
        <w:t>在做对比实验时我意识到一个容易讲不清的点：丢包实验里三种 QoS 到达率都是 100%，是因为 TCP 重传兜底，这说明 QoS 不是用来抗丢包的、其价值在连接断开场景。我把这个思路理顺并落到报告与 PPT 中，避免答辩时被问住。</w:t>
      </w:r>
    </w:p>
    <w:p>
      <w:r>
        <w:rPr>
          <w:b/>
        </w:rPr>
        <w:t>2. 本人完成的具体任务</w:t>
      </w:r>
    </w:p>
    <w:p>
      <w:pPr>
        <w:spacing w:line="324" w:lineRule="auto"/>
      </w:pPr>
      <w:r>
        <w:t>① 编写 compare_mqtt_http.py，逐字节实测同一条环境数据经 MQTT（QoS 1 发布）与 HTTP（POST）上传的应用层开销，对 json、json-min、msgpack 各取 200 次：结果 MQTT 比 HTTP 节省 65%~77%，协议头开销约为其 1/8，且数据越小、上传越频繁，MQTT 越省。</w:t>
      </w:r>
    </w:p>
    <w:p>
      <w:pPr>
        <w:spacing w:line="324" w:lineRule="auto"/>
      </w:pPr>
      <w:r>
        <w:t>② 美化 Web 监控端为深色仪表盘风格，使其与需求计算器界面统一、更专业。</w:t>
      </w:r>
    </w:p>
    <w:p>
      <w:pPr>
        <w:spacing w:line="324" w:lineRule="auto"/>
      </w:pPr>
      <w:r>
        <w:t>③ 为监控端新增“选择订阅”功能：可按节点、按数据类型或全部进行订阅过滤，后端按 MQTT 通配符对该连接的 SSE 推送做相应过滤，直观体现 MQTT 的主题订阅机制。</w:t>
      </w:r>
    </w:p>
    <w:p>
      <w:pPr>
        <w:spacing w:line="324" w:lineRule="auto"/>
      </w:pPr>
      <w:r>
        <w:t>④ 厘清并书面化 QoS 选型思路：TCP 兜底连接内丢包、QoS 解决连接断开时不丢，故选 QoS 1 + 持久会话，并用消息序号 seq 去重替代开销更大的 QoS 2。</w:t>
      </w:r>
    </w:p>
    <w:p>
      <w:pPr>
        <w:spacing w:line="324" w:lineRule="auto"/>
      </w:pPr>
      <w:r>
        <w:t>⑤ 撰写并大幅扩充课程设计报告：实现过程详写（PC 节点、ESP32、监控端配置）、测试证据闭环、典型问题与解决过程、设计指标达成情况汇总表、硬件约束与安全性分析、工程化总结等。</w:t>
      </w:r>
    </w:p>
    <w:p>
      <w:r>
        <w:rPr>
          <w:b/>
        </w:rPr>
        <w:t>3. 遇到的问题</w:t>
      </w:r>
    </w:p>
    <w:p>
      <w:pPr>
        <w:spacing w:line="324" w:lineRule="auto"/>
      </w:pPr>
      <w:r>
        <w:t>① 需要量化回答“为什么选 MQTT 而不用 HTTP”，仅靠定性描述说服力不足。</w:t>
      </w:r>
    </w:p>
    <w:p>
      <w:pPr>
        <w:spacing w:line="324" w:lineRule="auto"/>
      </w:pPr>
      <w:r>
        <w:t>② 报告需要补充实现细节、测试证据链与工程分析，否则证据链不够直观、达成情况不清晰。</w:t>
      </w:r>
    </w:p>
    <w:p>
      <w:r>
        <w:rPr>
          <w:b/>
        </w:rPr>
        <w:t>4. 解决方法</w:t>
      </w:r>
    </w:p>
    <w:p>
      <w:pPr>
        <w:spacing w:line="324" w:lineRule="auto"/>
      </w:pPr>
      <w:r>
        <w:t>① 编写逐字节对比实验脚本，用真实数据对比 MQTT 与 HTTP 的报文开销与连接模型差异，为协议选型提供硬证据。</w:t>
      </w:r>
    </w:p>
    <w:p>
      <w:pPr>
        <w:spacing w:line="324" w:lineRule="auto"/>
      </w:pPr>
      <w:r>
        <w:t>② 在报告测试章节按“测试方法—测试结果—结果分析”组织，每个结论配图、表或日志，并新增典型问题闭环与指标达成汇总表。</w:t>
      </w:r>
    </w:p>
    <w:p>
      <w:r>
        <w:rPr>
          <w:b/>
        </w:rPr>
        <w:t>5. 今日成果</w:t>
      </w:r>
    </w:p>
    <w:p>
      <w:pPr>
        <w:spacing w:line="324" w:lineRule="auto"/>
      </w:pPr>
      <w:r>
        <w:t>① 完成 MQTT 与 HTTP 开销对比实验，并将脚本与数据归档入库。</w:t>
      </w:r>
    </w:p>
    <w:p>
      <w:pPr>
        <w:spacing w:line="324" w:lineRule="auto"/>
      </w:pPr>
      <w:r>
        <w:t>② 完成 Web 监控端的界面美化与“选择订阅”功能。</w:t>
      </w:r>
    </w:p>
    <w:p>
      <w:pPr>
        <w:spacing w:line="324" w:lineRule="auto"/>
      </w:pPr>
      <w:r>
        <w:t>③ 完成课程设计报告的撰写与大幅扩充，证据链与工程分析更完整。</w:t>
      </w:r>
    </w:p>
    <w:p>
      <w:r>
        <w:rPr>
          <w:b/>
        </w:rPr>
        <w:t>6. 明日计划</w:t>
      </w:r>
    </w:p>
    <w:p>
      <w:pPr>
        <w:spacing w:line="324" w:lineRule="auto"/>
      </w:pPr>
      <w:r>
        <w:t>① 制作答辩 PPT 的协议与硬件部分。</w:t>
      </w:r>
    </w:p>
    <w:p>
      <w:pPr>
        <w:spacing w:line="324" w:lineRule="auto"/>
      </w:pPr>
      <w:r>
        <w:t>② 合并队友硬件材料并整理、提交全部成果。</w:t>
      </w:r>
    </w:p>
    <w:p>
      <w:pPr>
        <w:pBdr>
          <w:bottom w:val="single" w:sz="6" w:space="1" w:color="auto"/>
        </w:pBdr>
        <w:spacing w:after="120"/>
      </w:pPr>
    </w:p>
    <w:p>
      <w:pPr>
        <w:pStyle w:val="3"/>
      </w:pPr>
      <w:r>
        <w:t>第 10 个工作日：答辩 PPT 制作与成果提交</w:t>
      </w:r>
    </w:p>
    <w:p>
      <w:r>
        <w:t>日期：2026年6月17日</w:t>
      </w:r>
    </w:p>
    <w:p>
      <w:r>
        <w:rPr>
          <w:b/>
        </w:rPr>
        <w:t>1. 今日主要工作内容</w:t>
      </w:r>
    </w:p>
    <w:p>
      <w:pPr>
        <w:spacing w:line="324" w:lineRule="auto"/>
      </w:pPr>
      <w:r>
        <w:t>今天完善答辩 PPT、合入硬件队友材料、统一各处口径，并整理、提交全部课程设计成果，使项目形成完整闭环。PPT 的重点是把“需求驱动、考虑成本”的主线讲顺，并让硬件部分清晰呈现。</w:t>
      </w:r>
    </w:p>
    <w:p>
      <w:pPr>
        <w:spacing w:line="324" w:lineRule="auto"/>
      </w:pPr>
      <w:r>
        <w:t>在合并材料时我还处理了一处口径不一致：硬件接线图把光照画成了光敏模块，而串口与固件实际用的是 BH1750。我以串口/固件为准统一为 BH1750，并提 Issue 请硬件队友更正图，避免报告与 PPT 自相矛盾。</w:t>
      </w:r>
    </w:p>
    <w:p>
      <w:r>
        <w:rPr>
          <w:b/>
        </w:rPr>
        <w:t>2. 本人完成的具体任务</w:t>
      </w:r>
    </w:p>
    <w:p>
      <w:pPr>
        <w:spacing w:line="324" w:lineRule="auto"/>
      </w:pPr>
      <w:r>
        <w:t>① 完善答辩 PPT：新增“为什么选 MQTT（对比 HTTP 实测）”页、重构 QoS 论证页（讲清 TCP 与 QoS 的分工）、把 2 万连接实景压测移到校园案例处作为实验支撑，并新增两页 ESP32 硬件页（组成与传感器接入、Wi-Fi 配网）。</w:t>
      </w:r>
    </w:p>
    <w:p>
      <w:pPr>
        <w:spacing w:line="324" w:lineRule="auto"/>
      </w:pPr>
      <w:r>
        <w:t>② 合并硬件队友提交的固件、测试记录与图片等 Pull Request，统一接线口径（光照以串口/固件为准，即 BH1750），并提 Issue 跟进图的更正。</w:t>
      </w:r>
    </w:p>
    <w:p>
      <w:pPr>
        <w:spacing w:line="324" w:lineRule="auto"/>
      </w:pPr>
      <w:r>
        <w:t>③ 核对课程设计报告、源代码/仿真文件、汇报 PPT、个人日志与测试附件是否齐备，逐项确认提交清单。</w:t>
      </w:r>
    </w:p>
    <w:p>
      <w:pPr>
        <w:spacing w:line="324" w:lineRule="auto"/>
      </w:pPr>
      <w:r>
        <w:t>④ 用 Git 分模块提交并推送全部成果，保持过程留痕、提交信息简洁规范。</w:t>
      </w:r>
    </w:p>
    <w:p>
      <w:r>
        <w:rPr>
          <w:b/>
        </w:rPr>
        <w:t>3. 遇到的问题</w:t>
      </w:r>
    </w:p>
    <w:p>
      <w:pPr>
        <w:spacing w:line="324" w:lineRule="auto"/>
      </w:pPr>
      <w:r>
        <w:t>① 硬件接线图与实物图中光照模块的标注与实际使用的 BH1750 不一致，若直接放进报告/PPT 会前后矛盾、易被发现。</w:t>
      </w:r>
    </w:p>
    <w:p>
      <w:pPr>
        <w:spacing w:line="324" w:lineRule="auto"/>
      </w:pPr>
      <w:r>
        <w:t>② 报告、PPT、代码、日志、测试附件等多份材料需要统一口径并完整提交，遗漏任一项都会影响评分。</w:t>
      </w:r>
    </w:p>
    <w:p>
      <w:r>
        <w:rPr>
          <w:b/>
        </w:rPr>
        <w:t>4. 解决方法</w:t>
      </w:r>
    </w:p>
    <w:p>
      <w:pPr>
        <w:spacing w:line="324" w:lineRule="auto"/>
      </w:pPr>
      <w:r>
        <w:t>① 统一以串口与固件为准（光照为 BH1750），先在报告与 PPT 的文字、表格中改正，并提 Issue 请硬件队友更正图片后替换。</w:t>
      </w:r>
    </w:p>
    <w:p>
      <w:pPr>
        <w:spacing w:line="324" w:lineRule="auto"/>
      </w:pPr>
      <w:r>
        <w:t>② 按提交清单逐项清点报告、代码、PPT、日志与测试数据，分模块用 Git 提交、推送，确保成果齐备、可追溯。</w:t>
      </w:r>
    </w:p>
    <w:p>
      <w:r>
        <w:rPr>
          <w:b/>
        </w:rPr>
        <w:t>5. 今日成果</w:t>
      </w:r>
    </w:p>
    <w:p>
      <w:pPr>
        <w:spacing w:line="324" w:lineRule="auto"/>
      </w:pPr>
      <w:r>
        <w:t>① 完成答辩 PPT 的协议与硬件部分制作，叙事主线清晰、硬件呈现完整。</w:t>
      </w:r>
    </w:p>
    <w:p>
      <w:pPr>
        <w:spacing w:line="324" w:lineRule="auto"/>
      </w:pPr>
      <w:r>
        <w:t>② 完成硬件材料合并与口径统一，并提交了全部课程设计成果，项目形成完整闭环。</w:t>
      </w:r>
    </w:p>
    <w:p>
      <w:r>
        <w:rPr>
          <w:b/>
        </w:rPr>
        <w:t>6. 明日计划</w:t>
      </w:r>
    </w:p>
    <w:p>
      <w:pPr>
        <w:spacing w:line="324" w:lineRule="auto"/>
      </w:pPr>
      <w:r>
        <w:t>① 参加课程设计答辩演示，完成现场讲解与系统演示。</w:t>
      </w:r>
    </w:p>
    <w:p>
      <w:pPr>
        <w:pBdr>
          <w:bottom w:val="single" w:sz="6" w:space="1" w:color="auto"/>
        </w:pBdr>
        <w:spacing w:after="120"/>
      </w:pPr>
    </w:p>
    <w:p>
      <w:pPr>
        <w:pStyle w:val="3"/>
      </w:pPr>
      <w:r>
        <w:t>个人总结</w:t>
      </w:r>
    </w:p>
    <w:p>
      <w:r>
        <w:rPr>
          <w:b/>
        </w:rPr>
        <w:t>1. 本人在课程设计中的主要贡献</w:t>
      </w:r>
    </w:p>
    <w:p>
      <w:pPr>
        <w:spacing w:line="324" w:lineRule="auto"/>
      </w:pPr>
      <w:r>
        <w:t>我在本课程设计中负责软件侧与项目流程推进，是软件链路与“需求—成本”主线的主要实现者。具体贡献包括：完成需求分析与 MQTT 主题/消息格式设计；实现 PC 模拟节点（sim_node.py）与基于 Flask+SSE 的 Web 监控端（web_monitor.py），打通完整软件链路；建立“需求参数 → 网络负载 → 服务器最小配置 → 成本”的通用计算方法并实现需求-成本计算器；完成 MQTT 5.0 方案升级与三种消息格式、EMQX 选型；完成协议开销抓包、EMQX 容量与吞吐压测、QoS×丢包、跨公网延迟以及 MQTT 与 HTTP 开销对比等性能实验并校准模型系数；负责 ESP32 室外长测的服务器侧记录与分析；撰写课程设计报告并制作答辩 PPT。此外，我主导了 GitHub 协作流程与项目进度推进，把控每次 PR 的审查与合并。</w:t>
      </w:r>
    </w:p>
    <w:p>
      <w:r>
        <w:rPr>
          <w:b/>
        </w:rPr>
        <w:t>2. 掌握的主要知识和技能</w:t>
      </w:r>
    </w:p>
    <w:p>
      <w:pPr>
        <w:spacing w:line="324" w:lineRule="auto"/>
      </w:pPr>
      <w:r>
        <w:t>通过本课程设计，我较系统地掌握了：MQTT 的发布/订阅模型、主题设计与通配符匹配、QoS 三个等级与持久会话机制；TCP 的可靠传输与重传，以及它与应用层 QoS 的分工关系；用 Wireshark 抓包分析协议开销；EMQX 的部署、压测与系统调优（文件句柄、端口范围等）；Flask 与 SSE 构建实时 Web 应用；面向需求的网络负载、服务器容量与成本建模方法；以及 Git 分支开发、Issue 跟踪与 Pull Request 评审等工程协作技能。</w:t>
      </w:r>
    </w:p>
    <w:p>
      <w:r>
        <w:rPr>
          <w:b/>
        </w:rPr>
        <w:t>3. 遇到的主要问题及解决过程</w:t>
      </w:r>
    </w:p>
    <w:p>
      <w:pPr>
        <w:spacing w:line="324" w:lineRule="auto"/>
      </w:pPr>
      <w:r>
        <w:t>项目中遇到并解决了多个有代表性的问题：中期检查反馈要求“需求驱动、考虑成本”，据此我把项目重构为可计算的最小成本问题并实现需求计算器；内存用单一系数估算不准，补做满负载爬坡实验后改为空闲~满负载双模型；QoS 与 TCP 的关系容易混淆，通过 QoS×丢包实验厘清“抗丢包是 TCP 的事、QoS 价值在断连”；演示 Broker 一度在 Mosquitto 与 EMQX 间不一致，最终统一到本地 EMQX；光照数据异常则通过比对串口与订阅记录定位为硬件端 I2C 接触不良并配合修复。</w:t>
      </w:r>
    </w:p>
    <w:p>
      <w:r>
        <w:rPr>
          <w:b/>
        </w:rPr>
        <w:t>4. 对系统设计的认识</w:t>
      </w:r>
    </w:p>
    <w:p>
      <w:pPr>
        <w:spacing w:line="324" w:lineRule="auto"/>
      </w:pPr>
      <w:r>
        <w:t>通过这次课程设计，我对“工程化的网络系统设计”有了更深的认识：好的方案应当由需求驱动、用实验数据量化、并在满足服务质量的约束下求最低成本，而不是一味追求最大并发或最强性能；系统应采用统一、解耦的接口（如软硬件节点同构接入）和清晰的分层结构，并以完整的“需求—设计—实现—测试—分析”证据链支撑每一个结论。工程判断的核心，往往是在多种约束之间做出合理的权衡。</w:t>
      </w:r>
    </w:p>
    <w:p>
      <w:r>
        <w:rPr>
          <w:b/>
        </w:rPr>
        <w:t>5. 不足与改进方向</w:t>
      </w:r>
    </w:p>
    <w:p>
      <w:pPr>
        <w:spacing w:line="324" w:lineRule="auto"/>
      </w:pPr>
      <w:r>
        <w:t>本系统仍有不足：现场供网采用手机热点、稳定性不够，长测中出现过网络中断；下行带宽会随订阅端数量放大；尚未做数据库持久化与超限告警；Broker 目前为匿名连接、未启用认证与加密；硬件侧在传感器精度、供电与接线可靠性、室外部署与维护等方面也有约束。后续可从共享订阅降低下行放大、增加时序数据库与告警、为 Broker 启用 TLS 与账号/ACL、提升硬件可靠性与支持 OTA 等方向继续完善，使系统更接近可实际部署的水平。</w:t>
      </w:r>
    </w:p>
    <w:p>
      <w:pPr>
        <w:pStyle w:val="3"/>
      </w:pPr>
      <w:r>
        <w:t>附：测试与提交记录</w:t>
      </w:r>
    </w:p>
    <w:p>
      <w:r>
        <w:rPr>
          <w:b/>
        </w:rPr>
        <w:t>表 1  软件侧性能与协议测试结果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黑体"/>
                <w:b/>
                <w:color w:val="000000"/>
                <w:sz w:val="18"/>
              </w:rPr>
              <w:t>测试项目</w:t>
            </w:r>
          </w:p>
        </w:tc>
        <w:tc>
          <w:tcPr>
            <w:tcW w:type="dxa" w:w="2381"/>
          </w:tcPr>
          <w:p>
            <w:pPr>
              <w:jc w:val="center"/>
            </w:pPr>
            <w:r>
              <w:rPr>
                <w:rFonts w:ascii="Arial" w:hAnsi="Arial" w:eastAsia="黑体"/>
                <w:b/>
                <w:color w:val="000000"/>
                <w:sz w:val="18"/>
              </w:rPr>
              <w:t>测试方法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Arial" w:hAnsi="Arial" w:eastAsia="黑体"/>
                <w:b/>
                <w:color w:val="000000"/>
                <w:sz w:val="18"/>
              </w:rPr>
              <w:t>测试结果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Arial" w:hAnsi="Arial" w:eastAsia="黑体"/>
                <w:b/>
                <w:color w:val="000000"/>
                <w:sz w:val="18"/>
              </w:rPr>
              <w:t>是否通过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rFonts w:ascii="Arial" w:hAnsi="Arial" w:eastAsia="黑体"/>
                <w:b/>
                <w:color w:val="000000"/>
                <w:sz w:val="18"/>
              </w:rPr>
              <w:t>备注</w:t>
            </w:r>
          </w:p>
        </w:tc>
      </w:tr>
      <w:tr>
        <w:tc>
          <w:tcPr>
            <w:tcW w:type="dxa" w:w="1304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功能与连通性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双节点并发上传，监控端按序号 seq 与发送日志逐条对照统计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到达率 100%（48/48），断网后约 7 s 自动重连，QoS 1 离线期间排队的 12 条消息重连后全部补发、零丢失</w:t>
            </w:r>
          </w:p>
        </w:tc>
        <w:tc>
          <w:tcPr>
            <w:tcW w:type="dxa" w:w="850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通过</w:t>
            </w:r>
          </w:p>
        </w:tc>
        <w:tc>
          <w:tcPr>
            <w:tcW w:type="dxa" w:w="1587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软件链路完整，重连与补发机制有效</w:t>
            </w:r>
          </w:p>
        </w:tc>
      </w:tr>
      <w:tr>
        <w:tc>
          <w:tcPr>
            <w:tcW w:type="dxa" w:w="1304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协议开销（抓包）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用 Wireshark 抓取不同 QoS、消息格式、是否启用 Topic Alias 及协议版本下的报文并测单条总开销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QoS1+Alias 下 json/json-min/msgpack 单条分别约 261.9/203.0/185.9 B；Topic Alias 每条省约 21.3 B；空闲心跳约 116 B</w:t>
            </w:r>
          </w:p>
        </w:tc>
        <w:tc>
          <w:tcPr>
            <w:tcW w:type="dxa" w:w="850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通过</w:t>
            </w:r>
          </w:p>
        </w:tc>
        <w:tc>
          <w:tcPr>
            <w:tcW w:type="dxa" w:w="1587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作为带宽与月流量计算的字节系数</w:t>
            </w:r>
          </w:p>
        </w:tc>
      </w:tr>
      <w:tr>
        <w:tc>
          <w:tcPr>
            <w:tcW w:type="dxa" w:w="1304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容量压测（EMQX）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在 8 核 32 GB 服务器上对 EMQX 做连接爬坡（加密至 10 档）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5 万空闲连接约占 1.05 GB（约 15.75 KB/连接），满负载每连接约 38.76 KB（为空闲的 2.46 倍）</w:t>
            </w:r>
          </w:p>
        </w:tc>
        <w:tc>
          <w:tcPr>
            <w:tcW w:type="dxa" w:w="850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通过</w:t>
            </w:r>
          </w:p>
        </w:tc>
        <w:tc>
          <w:tcPr>
            <w:tcW w:type="dxa" w:w="1587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选型须按满负载上界，故计算器采用双模型</w:t>
            </w:r>
          </w:p>
        </w:tc>
      </w:tr>
      <w:tr>
        <w:tc>
          <w:tcPr>
            <w:tcW w:type="dxa" w:w="1304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吞吐压测（EMQX）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对 EMQX 施加大消息速率并观察 CPU 占用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处理 5 万条/秒约需 3.2 个核（约每核每秒 1.9 万条）</w:t>
            </w:r>
          </w:p>
        </w:tc>
        <w:tc>
          <w:tcPr>
            <w:tcW w:type="dxa" w:w="850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通过</w:t>
            </w:r>
          </w:p>
        </w:tc>
        <w:tc>
          <w:tcPr>
            <w:tcW w:type="dxa" w:w="1587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对照 amqtt 千级连接即单核饱和</w:t>
            </w:r>
          </w:p>
        </w:tc>
      </w:tr>
      <w:tr>
        <w:tc>
          <w:tcPr>
            <w:tcW w:type="dxa" w:w="1304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QoS×丢包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在 0~15% 人为丢包下分别测 QoS 0/1/2 的到达率与延迟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三种 QoS 应用层到达率均保持 100%（TCP 重传兜底），代价是延迟随丢包率上升</w:t>
            </w:r>
          </w:p>
        </w:tc>
        <w:tc>
          <w:tcPr>
            <w:tcW w:type="dxa" w:w="850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通过</w:t>
            </w:r>
          </w:p>
        </w:tc>
        <w:tc>
          <w:tcPr>
            <w:tcW w:type="dxa" w:w="1587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说明抗丢包是 TCP 的事，QoS 价值在断连场景</w:t>
            </w:r>
          </w:p>
        </w:tc>
      </w:tr>
      <w:tr>
        <w:tc>
          <w:tcPr>
            <w:tcW w:type="dxa" w:w="1304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跨公网延迟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节点经公网向云端 EMQX 发布、监控端订阅，统计端到端延迟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平均约 44.7 ms、到达率 100%，断线重连约 5.2 s</w:t>
            </w:r>
          </w:p>
        </w:tc>
        <w:tc>
          <w:tcPr>
            <w:tcW w:type="dxa" w:w="850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通过</w:t>
            </w:r>
          </w:p>
        </w:tc>
        <w:tc>
          <w:tcPr>
            <w:tcW w:type="dxa" w:w="1587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远优于 ≤ 1 s 的延迟指标</w:t>
            </w:r>
          </w:p>
        </w:tc>
      </w:tr>
      <w:tr>
        <w:tc>
          <w:tcPr>
            <w:tcW w:type="dxa" w:w="1304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实景压测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以 2 万连接、每连接每 15 s 一条、10 路订阅全量转发，持续运行 30 分钟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TCP 连接全程零掉线，转发送达 99.96%，EMQX 进程 CPU 约 1.1 核、内存约 1.5 GB</w:t>
            </w:r>
          </w:p>
        </w:tc>
        <w:tc>
          <w:tcPr>
            <w:tcW w:type="dxa" w:w="850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通过</w:t>
            </w:r>
          </w:p>
        </w:tc>
        <w:tc>
          <w:tcPr>
            <w:tcW w:type="dxa" w:w="1587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与计算器对同等规模的配置预测吻合</w:t>
            </w:r>
          </w:p>
        </w:tc>
      </w:tr>
      <w:tr>
        <w:tc>
          <w:tcPr>
            <w:tcW w:type="dxa" w:w="1304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MQTT vs HTTP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同一条数据分别经 MQTT 发布与 HTTP POST 上传，逐字节对比应用层开销（各 200 次）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MQTT 比 HTTP 节省 65%~77%，协议头开销约为其 1/8，payload 越小越省</w:t>
            </w:r>
          </w:p>
        </w:tc>
        <w:tc>
          <w:tcPr>
            <w:tcW w:type="dxa" w:w="850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通过</w:t>
            </w:r>
          </w:p>
        </w:tc>
        <w:tc>
          <w:tcPr>
            <w:tcW w:type="dxa" w:w="1587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为选用 MQTT 提供量化依据</w:t>
            </w:r>
          </w:p>
        </w:tc>
      </w:tr>
    </w:tbl>
    <w:p>
      <w:pPr>
        <w:spacing w:after="40"/>
      </w:pPr>
    </w:p>
    <w:p>
      <w:r>
        <w:rPr>
          <w:b/>
        </w:rPr>
        <w:t>表 2  关键指标实测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1361"/>
          </w:tcPr>
          <w:p>
            <w:pPr>
              <w:jc w:val="center"/>
            </w:pPr>
            <w:r>
              <w:rPr>
                <w:rFonts w:ascii="Arial" w:hAnsi="Arial" w:eastAsia="黑体"/>
                <w:b/>
                <w:color w:val="000000"/>
                <w:sz w:val="18"/>
              </w:rPr>
              <w:t>测试指标</w:t>
            </w:r>
          </w:p>
        </w:tc>
        <w:tc>
          <w:tcPr>
            <w:tcW w:type="dxa" w:w="2494"/>
          </w:tcPr>
          <w:p>
            <w:pPr>
              <w:jc w:val="center"/>
            </w:pPr>
            <w:r>
              <w:rPr>
                <w:rFonts w:ascii="Arial" w:hAnsi="Arial" w:eastAsia="黑体"/>
                <w:b/>
                <w:color w:val="000000"/>
                <w:sz w:val="18"/>
              </w:rPr>
              <w:t>测试条件</w:t>
            </w:r>
          </w:p>
        </w:tc>
        <w:tc>
          <w:tcPr>
            <w:tcW w:type="dxa" w:w="2381"/>
          </w:tcPr>
          <w:p>
            <w:pPr>
              <w:jc w:val="center"/>
            </w:pPr>
            <w:r>
              <w:rPr>
                <w:rFonts w:ascii="Arial" w:hAnsi="Arial" w:eastAsia="黑体"/>
                <w:b/>
                <w:color w:val="000000"/>
                <w:sz w:val="18"/>
              </w:rPr>
              <w:t>测试结果</w:t>
            </w:r>
          </w:p>
        </w:tc>
        <w:tc>
          <w:tcPr>
            <w:tcW w:type="dxa" w:w="2721"/>
          </w:tcPr>
          <w:p>
            <w:pPr>
              <w:jc w:val="center"/>
            </w:pPr>
            <w:r>
              <w:rPr>
                <w:rFonts w:ascii="Arial" w:hAnsi="Arial" w:eastAsia="黑体"/>
                <w:b/>
                <w:color w:val="000000"/>
                <w:sz w:val="18"/>
              </w:rPr>
              <w:t>结果分析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消息到达率</w:t>
            </w:r>
          </w:p>
        </w:tc>
        <w:tc>
          <w:tcPr>
            <w:tcW w:type="dxa" w:w="2494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按消息序号 seq 逐条统计实收/应收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功能测试 100%，ESP32 真机 15 h 整体 95.0%</w:t>
            </w:r>
          </w:p>
        </w:tc>
        <w:tc>
          <w:tcPr>
            <w:tcW w:type="dxa" w:w="2721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网络短时中断计入后仍达标（≥ 95%），系统靠 QoS1+重连扛住中断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平均传输延迟</w:t>
            </w:r>
          </w:p>
        </w:tc>
        <w:tc>
          <w:tcPr>
            <w:tcW w:type="dxa" w:w="2494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跨公网 MQTT 发布/订阅，统计端到端时间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平均约 44.7 ms（P95 约 85 ms）</w:t>
            </w:r>
          </w:p>
        </w:tc>
        <w:tc>
          <w:tcPr>
            <w:tcW w:type="dxa" w:w="2721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远优于 ≤ 1 s，发布/订阅方式适合秒级周期的环境监测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断线重连恢复</w:t>
            </w:r>
          </w:p>
        </w:tc>
        <w:tc>
          <w:tcPr>
            <w:tcW w:type="dxa" w:w="2494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断开网络后恢复，记录自动重连并续传的时间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EMQX 约 5.2 s，节点功能测试约 7 s</w:t>
            </w:r>
          </w:p>
        </w:tc>
        <w:tc>
          <w:tcPr>
            <w:tcW w:type="dxa" w:w="2721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满足 ≤ 10 s，重连后离线消息可补发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单机容量</w:t>
            </w:r>
          </w:p>
        </w:tc>
        <w:tc>
          <w:tcPr>
            <w:tcW w:type="dxa" w:w="2494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EMQX 连接爬坡至 5 万连接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5 万连接约占 1 GB 内存，远未触顶</w:t>
            </w:r>
          </w:p>
        </w:tc>
        <w:tc>
          <w:tcPr>
            <w:tcW w:type="dxa" w:w="2721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万级场景余量很大，规模再增可横向集群扩展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处理吞吐</w:t>
            </w:r>
          </w:p>
        </w:tc>
        <w:tc>
          <w:tcPr>
            <w:tcW w:type="dxa" w:w="2494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对 EMQX 施加大消息速率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5 万条/秒约 3.2 核</w:t>
            </w:r>
          </w:p>
        </w:tc>
        <w:tc>
          <w:tcPr>
            <w:tcW w:type="dxa" w:w="2721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单节点上传压力远低于此，系统瓶颈在带宽与存储而非 Broker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连续运行稳定性</w:t>
            </w:r>
          </w:p>
        </w:tc>
        <w:tc>
          <w:tcPr>
            <w:tcW w:type="dxa" w:w="2494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2 万连接压测 30 min，ESP32 真机约 15 h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压测零掉线，真机四类数据形成完整曲线</w:t>
            </w:r>
          </w:p>
        </w:tc>
        <w:tc>
          <w:tcPr>
            <w:tcW w:type="dxa" w:w="2721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长时间运行稳定，满足 ≥ 30 min 不崩溃不掉线</w:t>
            </w:r>
          </w:p>
        </w:tc>
      </w:tr>
    </w:tbl>
    <w:p>
      <w:pPr>
        <w:spacing w:after="40"/>
      </w:pPr>
    </w:p>
    <w:p>
      <w:r>
        <w:rPr>
          <w:b/>
        </w:rPr>
        <w:t>表 3  提交材料清单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009"/>
        <w:gridCol w:w="3009"/>
        <w:gridCol w:w="3009"/>
      </w:tblGrid>
      <w:tr>
        <w:tc>
          <w:tcPr>
            <w:tcW w:type="dxa" w:w="2835"/>
          </w:tcPr>
          <w:p>
            <w:pPr>
              <w:jc w:val="center"/>
            </w:pPr>
            <w:r>
              <w:rPr>
                <w:rFonts w:ascii="Arial" w:hAnsi="Arial" w:eastAsia="黑体"/>
                <w:b/>
                <w:color w:val="000000"/>
                <w:sz w:val="18"/>
              </w:rPr>
              <w:t>材料名称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黑体"/>
                <w:b/>
                <w:color w:val="000000"/>
                <w:sz w:val="18"/>
              </w:rPr>
              <w:t>是否提交</w:t>
            </w:r>
          </w:p>
        </w:tc>
        <w:tc>
          <w:tcPr>
            <w:tcW w:type="dxa" w:w="3855"/>
          </w:tcPr>
          <w:p>
            <w:pPr>
              <w:jc w:val="center"/>
            </w:pPr>
            <w:r>
              <w:rPr>
                <w:rFonts w:ascii="Arial" w:hAnsi="Arial" w:eastAsia="黑体"/>
                <w:b/>
                <w:color w:val="000000"/>
                <w:sz w:val="18"/>
              </w:rPr>
              <w:t>备注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课程设计报告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☑ 是　□ 否</w:t>
            </w:r>
          </w:p>
        </w:tc>
        <w:tc>
          <w:tcPr>
            <w:tcW w:type="dxa" w:w="3855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docs/project_outputs/课程设计报告/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源代码 / 仿真文件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☑ 是　□ 否</w:t>
            </w:r>
          </w:p>
        </w:tc>
        <w:tc>
          <w:tcPr>
            <w:tcW w:type="dxa" w:w="3855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src/、scripts/、hardware/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汇报 PPT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☑ 是　□ 否</w:t>
            </w:r>
          </w:p>
        </w:tc>
        <w:tc>
          <w:tcPr>
            <w:tcW w:type="dxa" w:w="3855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期末答辩 Beamer 幻灯片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个人日志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☑ 是　□ 否</w:t>
            </w:r>
          </w:p>
        </w:tc>
        <w:tc>
          <w:tcPr>
            <w:tcW w:type="dxa" w:w="3855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本文件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测试数据/抓包文件/截图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☑ 是　□ 否</w:t>
            </w:r>
          </w:p>
        </w:tc>
        <w:tc>
          <w:tcPr>
            <w:tcW w:type="dxa" w:w="3855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captures/、docs/project_outputs/测试证据/</w:t>
            </w:r>
          </w:p>
        </w:tc>
      </w:tr>
    </w:tbl>
    <w:p>
      <w:pPr>
        <w:spacing w:after="40"/>
      </w:pPr>
    </w:p>
    <w:sectPr w:rsidR="00241E52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AC18EF" w14:textId="77777777" w:rsidR="00F95C96" w:rsidRDefault="00F95C96" w:rsidP="0035587F">
      <w:r>
        <w:separator/>
      </w:r>
    </w:p>
  </w:endnote>
  <w:endnote w:type="continuationSeparator" w:id="0">
    <w:p w14:paraId="641B25A1" w14:textId="77777777" w:rsidR="00F95C96" w:rsidRDefault="00F95C96" w:rsidP="003558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方正小标宋简体">
    <w:altName w:val="微软雅黑"/>
    <w:charset w:val="86"/>
    <w:family w:val="script"/>
    <w:pitch w:val="fixed"/>
    <w:sig w:usb0="00000001" w:usb1="080E0000" w:usb2="00000010" w:usb3="00000000" w:csb0="0004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楷体_GB2312">
    <w:altName w:val="楷体"/>
    <w:charset w:val="86"/>
    <w:family w:val="modern"/>
    <w:pitch w:val="fixed"/>
    <w:sig w:usb0="00000001" w:usb1="080E0000" w:usb2="00000010" w:usb3="00000000" w:csb0="0004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5E4756" w14:textId="77777777" w:rsidR="00F95C96" w:rsidRDefault="00F95C96" w:rsidP="0035587F">
      <w:r>
        <w:separator/>
      </w:r>
    </w:p>
  </w:footnote>
  <w:footnote w:type="continuationSeparator" w:id="0">
    <w:p w14:paraId="07F715AE" w14:textId="77777777" w:rsidR="00F95C96" w:rsidRDefault="00F95C96" w:rsidP="0035587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E4679"/>
    <w:multiLevelType w:val="hybridMultilevel"/>
    <w:tmpl w:val="B1E0563A"/>
    <w:lvl w:ilvl="0" w:tplc="532AC354">
      <w:start w:val="1"/>
      <w:numFmt w:val="bullet"/>
      <w:lvlText w:val="●"/>
      <w:lvlJc w:val="left"/>
      <w:pPr>
        <w:ind w:left="720" w:hanging="360"/>
      </w:pPr>
    </w:lvl>
    <w:lvl w:ilvl="1" w:tplc="129AF8E4">
      <w:start w:val="1"/>
      <w:numFmt w:val="bullet"/>
      <w:lvlText w:val="○"/>
      <w:lvlJc w:val="left"/>
      <w:pPr>
        <w:ind w:left="1440" w:hanging="360"/>
      </w:pPr>
    </w:lvl>
    <w:lvl w:ilvl="2" w:tplc="E5D25B9E">
      <w:start w:val="1"/>
      <w:numFmt w:val="bullet"/>
      <w:lvlText w:val="■"/>
      <w:lvlJc w:val="left"/>
      <w:pPr>
        <w:ind w:left="2160" w:hanging="360"/>
      </w:pPr>
    </w:lvl>
    <w:lvl w:ilvl="3" w:tplc="2D9E4E46">
      <w:start w:val="1"/>
      <w:numFmt w:val="bullet"/>
      <w:lvlText w:val="●"/>
      <w:lvlJc w:val="left"/>
      <w:pPr>
        <w:ind w:left="2880" w:hanging="360"/>
      </w:pPr>
    </w:lvl>
    <w:lvl w:ilvl="4" w:tplc="5E684D1C">
      <w:start w:val="1"/>
      <w:numFmt w:val="bullet"/>
      <w:lvlText w:val="○"/>
      <w:lvlJc w:val="left"/>
      <w:pPr>
        <w:ind w:left="3600" w:hanging="360"/>
      </w:pPr>
    </w:lvl>
    <w:lvl w:ilvl="5" w:tplc="8F1CA8B4">
      <w:start w:val="1"/>
      <w:numFmt w:val="bullet"/>
      <w:lvlText w:val="■"/>
      <w:lvlJc w:val="left"/>
      <w:pPr>
        <w:ind w:left="4320" w:hanging="360"/>
      </w:pPr>
    </w:lvl>
    <w:lvl w:ilvl="6" w:tplc="A738AFAE">
      <w:start w:val="1"/>
      <w:numFmt w:val="bullet"/>
      <w:lvlText w:val="●"/>
      <w:lvlJc w:val="left"/>
      <w:pPr>
        <w:ind w:left="5040" w:hanging="360"/>
      </w:pPr>
    </w:lvl>
    <w:lvl w:ilvl="7" w:tplc="50740B46">
      <w:start w:val="1"/>
      <w:numFmt w:val="bullet"/>
      <w:lvlText w:val="●"/>
      <w:lvlJc w:val="left"/>
      <w:pPr>
        <w:ind w:left="5760" w:hanging="360"/>
      </w:pPr>
    </w:lvl>
    <w:lvl w:ilvl="8" w:tplc="C4D6F74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A1554C3"/>
    <w:multiLevelType w:val="hybridMultilevel"/>
    <w:tmpl w:val="024C814A"/>
    <w:lvl w:ilvl="0" w:tplc="59EE6B76">
      <w:start w:val="1"/>
      <w:numFmt w:val="bullet"/>
      <w:suff w:val="space"/>
      <w:lvlText w:val="●"/>
      <w:lvlJc w:val="left"/>
      <w:pPr>
        <w:ind w:left="240" w:hanging="180"/>
      </w:pPr>
    </w:lvl>
    <w:lvl w:ilvl="1" w:tplc="FE68A424">
      <w:start w:val="1"/>
      <w:numFmt w:val="bullet"/>
      <w:suff w:val="space"/>
      <w:lvlText w:val="○"/>
      <w:lvlJc w:val="left"/>
      <w:pPr>
        <w:ind w:left="660" w:hanging="180"/>
      </w:pPr>
    </w:lvl>
    <w:lvl w:ilvl="2" w:tplc="68ECA528">
      <w:start w:val="1"/>
      <w:numFmt w:val="bullet"/>
      <w:suff w:val="space"/>
      <w:lvlText w:val="■"/>
      <w:lvlJc w:val="left"/>
      <w:pPr>
        <w:ind w:left="1080" w:hanging="180"/>
      </w:pPr>
    </w:lvl>
    <w:lvl w:ilvl="3" w:tplc="A2D444C6">
      <w:start w:val="1"/>
      <w:numFmt w:val="bullet"/>
      <w:suff w:val="space"/>
      <w:lvlText w:val="●"/>
      <w:lvlJc w:val="left"/>
      <w:pPr>
        <w:ind w:left="1500" w:hanging="180"/>
      </w:pPr>
    </w:lvl>
    <w:lvl w:ilvl="4" w:tplc="AB36C00C">
      <w:start w:val="1"/>
      <w:numFmt w:val="bullet"/>
      <w:suff w:val="space"/>
      <w:lvlText w:val="○"/>
      <w:lvlJc w:val="left"/>
      <w:pPr>
        <w:ind w:left="1920" w:hanging="180"/>
      </w:pPr>
    </w:lvl>
    <w:lvl w:ilvl="5" w:tplc="3A846238">
      <w:start w:val="1"/>
      <w:numFmt w:val="bullet"/>
      <w:suff w:val="space"/>
      <w:lvlText w:val="■"/>
      <w:lvlJc w:val="left"/>
      <w:pPr>
        <w:ind w:left="2340" w:hanging="180"/>
      </w:pPr>
    </w:lvl>
    <w:lvl w:ilvl="6" w:tplc="8C3E93DC">
      <w:start w:val="1"/>
      <w:numFmt w:val="bullet"/>
      <w:suff w:val="space"/>
      <w:lvlText w:val="●"/>
      <w:lvlJc w:val="left"/>
      <w:pPr>
        <w:ind w:left="2760" w:hanging="180"/>
      </w:pPr>
    </w:lvl>
    <w:lvl w:ilvl="7" w:tplc="EC168A3A">
      <w:start w:val="1"/>
      <w:numFmt w:val="bullet"/>
      <w:suff w:val="space"/>
      <w:lvlText w:val="○"/>
      <w:lvlJc w:val="left"/>
      <w:pPr>
        <w:ind w:left="3180" w:hanging="180"/>
      </w:pPr>
    </w:lvl>
    <w:lvl w:ilvl="8" w:tplc="3BAEE0C2">
      <w:start w:val="1"/>
      <w:numFmt w:val="bullet"/>
      <w:suff w:val="space"/>
      <w:lvlText w:val="■"/>
      <w:lvlJc w:val="left"/>
      <w:pPr>
        <w:ind w:left="3600" w:hanging="180"/>
      </w:pPr>
    </w:lvl>
  </w:abstractNum>
  <w:num w:numId="1" w16cid:durableId="210714409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displayBackgroundShape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1E52"/>
    <w:rsid w:val="00092C4A"/>
    <w:rsid w:val="000F553E"/>
    <w:rsid w:val="00104278"/>
    <w:rsid w:val="001500EC"/>
    <w:rsid w:val="001630B5"/>
    <w:rsid w:val="0023062C"/>
    <w:rsid w:val="00241E52"/>
    <w:rsid w:val="00250CE2"/>
    <w:rsid w:val="002D1F18"/>
    <w:rsid w:val="0035587F"/>
    <w:rsid w:val="003B3146"/>
    <w:rsid w:val="003D1376"/>
    <w:rsid w:val="004379B4"/>
    <w:rsid w:val="00475DCA"/>
    <w:rsid w:val="004B6F7E"/>
    <w:rsid w:val="004C4447"/>
    <w:rsid w:val="0057218D"/>
    <w:rsid w:val="00623CED"/>
    <w:rsid w:val="0068543D"/>
    <w:rsid w:val="0079565D"/>
    <w:rsid w:val="007B5E3B"/>
    <w:rsid w:val="007C5610"/>
    <w:rsid w:val="00807874"/>
    <w:rsid w:val="008140F0"/>
    <w:rsid w:val="008B2CF0"/>
    <w:rsid w:val="00946DBF"/>
    <w:rsid w:val="00961E50"/>
    <w:rsid w:val="009A766F"/>
    <w:rsid w:val="009F5A1D"/>
    <w:rsid w:val="00A300C6"/>
    <w:rsid w:val="00A95BFF"/>
    <w:rsid w:val="00AF6A3B"/>
    <w:rsid w:val="00B115EA"/>
    <w:rsid w:val="00B274E5"/>
    <w:rsid w:val="00B34D0B"/>
    <w:rsid w:val="00B73FF5"/>
    <w:rsid w:val="00B9625B"/>
    <w:rsid w:val="00BE6A3E"/>
    <w:rsid w:val="00BF1FF6"/>
    <w:rsid w:val="00C443F2"/>
    <w:rsid w:val="00CD7C46"/>
    <w:rsid w:val="00D12F18"/>
    <w:rsid w:val="00DA420E"/>
    <w:rsid w:val="00DB723E"/>
    <w:rsid w:val="00DE600B"/>
    <w:rsid w:val="00DE60D3"/>
    <w:rsid w:val="00E12185"/>
    <w:rsid w:val="00E4220F"/>
    <w:rsid w:val="00E6720A"/>
    <w:rsid w:val="00E71B09"/>
    <w:rsid w:val="00ED6DAD"/>
    <w:rsid w:val="00EF3938"/>
    <w:rsid w:val="00F075E1"/>
    <w:rsid w:val="00F52418"/>
    <w:rsid w:val="00F95C96"/>
    <w:rsid w:val="00FE28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6C98EE"/>
  <w15:docId w15:val="{0BE5E060-4D57-4E0E-A66C-1A08A79B54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qFormat/>
    <w:pPr>
      <w:outlineLvl w:val="0"/>
    </w:pPr>
    <w:rPr>
      <w:b/>
      <w:bCs/>
      <w:color w:val="000000"/>
      <w:sz w:val="40"/>
      <w:szCs w:val="40"/>
    </w:rPr>
  </w:style>
  <w:style w:type="paragraph" w:styleId="2">
    <w:name w:val="heading 2"/>
    <w:qFormat/>
    <w:pPr>
      <w:outlineLvl w:val="1"/>
    </w:pPr>
    <w:rPr>
      <w:b/>
      <w:bCs/>
      <w:color w:val="000000"/>
      <w:sz w:val="36"/>
      <w:szCs w:val="36"/>
    </w:rPr>
  </w:style>
  <w:style w:type="paragraph" w:styleId="3">
    <w:name w:val="heading 3"/>
    <w:qFormat/>
    <w:pPr>
      <w:outlineLvl w:val="2"/>
    </w:pPr>
    <w:rPr>
      <w:b/>
      <w:bCs/>
      <w:color w:val="000000"/>
      <w:sz w:val="32"/>
      <w:szCs w:val="32"/>
    </w:rPr>
  </w:style>
  <w:style w:type="paragraph" w:styleId="4">
    <w:name w:val="heading 4"/>
    <w:qFormat/>
    <w:pPr>
      <w:outlineLvl w:val="3"/>
    </w:pPr>
    <w:rPr>
      <w:b/>
      <w:bCs/>
      <w:color w:val="000000"/>
      <w:sz w:val="28"/>
      <w:szCs w:val="28"/>
    </w:rPr>
  </w:style>
  <w:style w:type="paragraph" w:styleId="5">
    <w:name w:val="heading 5"/>
    <w:qFormat/>
    <w:pPr>
      <w:outlineLvl w:val="4"/>
    </w:pPr>
    <w:rPr>
      <w:b/>
      <w:bCs/>
      <w:color w:val="000000"/>
    </w:rPr>
  </w:style>
  <w:style w:type="paragraph" w:styleId="6">
    <w:name w:val="heading 6"/>
    <w:qFormat/>
    <w:pPr>
      <w:outlineLvl w:val="5"/>
    </w:pPr>
    <w:rPr>
      <w:b/>
      <w:bCs/>
      <w:color w:val="00000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character" w:styleId="a9">
    <w:name w:val="Strong"/>
    <w:basedOn w:val="a0"/>
    <w:uiPriority w:val="22"/>
    <w:qFormat/>
    <w:rsid w:val="007B5E3B"/>
    <w:rPr>
      <w:b/>
      <w:bCs/>
    </w:rPr>
  </w:style>
  <w:style w:type="paragraph" w:styleId="aa">
    <w:name w:val="header"/>
    <w:basedOn w:val="a"/>
    <w:link w:val="ab"/>
    <w:uiPriority w:val="99"/>
    <w:unhideWhenUsed/>
    <w:rsid w:val="0035587F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b">
    <w:name w:val="页眉 字符"/>
    <w:basedOn w:val="a0"/>
    <w:link w:val="aa"/>
    <w:uiPriority w:val="99"/>
    <w:rsid w:val="0035587F"/>
    <w:rPr>
      <w:sz w:val="18"/>
      <w:szCs w:val="18"/>
    </w:rPr>
  </w:style>
  <w:style w:type="paragraph" w:styleId="ac">
    <w:name w:val="footer"/>
    <w:basedOn w:val="a"/>
    <w:link w:val="ad"/>
    <w:uiPriority w:val="99"/>
    <w:unhideWhenUsed/>
    <w:rsid w:val="0035587F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d">
    <w:name w:val="页脚 字符"/>
    <w:basedOn w:val="a0"/>
    <w:link w:val="ac"/>
    <w:uiPriority w:val="99"/>
    <w:rsid w:val="0035587F"/>
    <w:rPr>
      <w:sz w:val="18"/>
      <w:szCs w:val="18"/>
    </w:rPr>
  </w:style>
  <w:style w:type="paragraph" w:styleId="ae">
    <w:name w:val="caption"/>
    <w:basedOn w:val="a"/>
    <w:next w:val="a"/>
    <w:uiPriority w:val="35"/>
    <w:unhideWhenUsed/>
    <w:qFormat/>
    <w:rsid w:val="00807874"/>
    <w:rPr>
      <w:rFonts w:asciiTheme="majorHAnsi" w:eastAsia="黑体" w:hAnsiTheme="majorHAnsi" w:cstheme="majorBidi"/>
      <w:sz w:val="20"/>
      <w:szCs w:val="20"/>
    </w:rPr>
  </w:style>
  <w:style w:type="paragraph" w:styleId="af">
    <w:name w:val="Normal (Web)"/>
    <w:basedOn w:val="a"/>
    <w:uiPriority w:val="99"/>
    <w:semiHidden/>
    <w:unhideWhenUsed/>
    <w:rsid w:val="00BE6A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gif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jpe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jpe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http://office.chd.edu.cn/images/14/04/04/2ot2sih0a9/2009314214947719.gif" TargetMode="External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490</TotalTime>
  <Pages>25</Pages>
  <Words>9248</Words>
  <Characters>11098</Characters>
  <Application>Microsoft Office Word</Application>
  <DocSecurity>0</DocSecurity>
  <Lines>528</Lines>
  <Paragraphs>406</Paragraphs>
  <ScaleCrop>false</ScaleCrop>
  <Company/>
  <LinksUpToDate>false</LinksUpToDate>
  <CharactersWithSpaces>19940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博宇 孙</cp:lastModifiedBy>
  <cp:revision>26</cp:revision>
  <dcterms:created xsi:type="dcterms:W3CDTF">2026-06-07T03:17:00Z</dcterms:created>
  <dcterms:modified xsi:type="dcterms:W3CDTF">2026-06-17T10:19:00Z</dcterms:modified>
</cp:coreProperties>
</file>