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14B01" w14:textId="77777777" w:rsidR="007B5E3B" w:rsidRDefault="007B5E3B" w:rsidP="00B115EA">
      <w:pPr>
        <w:spacing w:beforeLines="50" w:before="120" w:afterLines="50" w:after="120"/>
        <w:jc w:val="left"/>
        <w:rPr>
          <w:rFonts w:ascii="方正小标宋简体" w:eastAsia="方正小标宋简体" w:hAnsi="宋体" w:hint="eastAsia"/>
          <w:b/>
          <w:color w:val="000000"/>
          <w:sz w:val="30"/>
          <w:szCs w:val="30"/>
        </w:rPr>
      </w:pPr>
      <w:r>
        <w:rPr>
          <w:noProof/>
          <w:color w:val="333333"/>
          <w:sz w:val="18"/>
          <w:szCs w:val="18"/>
        </w:rPr>
        <w:drawing>
          <wp:inline distT="0" distB="0" distL="0" distR="0" wp14:anchorId="00D247F9" wp14:editId="1E1FC665">
            <wp:extent cx="1000125" cy="10001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119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0728" cy="100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15EA">
        <w:rPr>
          <w:rFonts w:ascii="方正小标宋简体" w:eastAsia="方正小标宋简体" w:hAnsi="宋体" w:hint="eastAsia"/>
          <w:b/>
          <w:color w:val="000000"/>
          <w:sz w:val="30"/>
          <w:szCs w:val="30"/>
        </w:rPr>
        <w:t xml:space="preserve"> </w:t>
      </w:r>
      <w:r w:rsidR="00B115EA">
        <w:rPr>
          <w:rFonts w:ascii="方正小标宋简体" w:eastAsia="方正小标宋简体" w:hAnsi="宋体"/>
          <w:b/>
          <w:color w:val="000000"/>
          <w:sz w:val="30"/>
          <w:szCs w:val="30"/>
        </w:rPr>
        <w:t xml:space="preserve">             </w:t>
      </w:r>
      <w:r>
        <w:rPr>
          <w:noProof/>
          <w:color w:val="333333"/>
          <w:sz w:val="18"/>
          <w:szCs w:val="18"/>
        </w:rPr>
        <w:drawing>
          <wp:inline distT="0" distB="0" distL="0" distR="0" wp14:anchorId="440AC73E" wp14:editId="6C8A5D7D">
            <wp:extent cx="2383193" cy="842210"/>
            <wp:effectExtent l="0" t="0" r="0" b="0"/>
            <wp:docPr id="3" name="图片 3" descr="http://office.chd.edu.cn/images/14/04/04/2ot2sih0a9/200931421494771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://office.chd.edu.cn/images/14/04/04/2ot2sih0a9/2009314214947719.gif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2760" cy="845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747D1" w14:textId="77777777" w:rsidR="007B5E3B" w:rsidRDefault="007B5E3B" w:rsidP="007B5E3B">
      <w:pPr>
        <w:spacing w:beforeLines="50" w:before="120" w:afterLines="50" w:after="120" w:line="560" w:lineRule="exact"/>
        <w:rPr>
          <w:rFonts w:ascii="方正小标宋简体" w:eastAsia="方正小标宋简体" w:hAnsi="宋体" w:hint="eastAsia"/>
          <w:b/>
          <w:color w:val="000000"/>
          <w:sz w:val="30"/>
          <w:szCs w:val="30"/>
        </w:rPr>
      </w:pPr>
    </w:p>
    <w:p w14:paraId="1C2B10B1" w14:textId="77777777" w:rsidR="007B5E3B" w:rsidRDefault="007B5E3B" w:rsidP="007B5E3B">
      <w:pPr>
        <w:spacing w:beforeLines="50" w:before="120" w:afterLines="50" w:after="120" w:line="560" w:lineRule="exact"/>
        <w:rPr>
          <w:rFonts w:ascii="方正小标宋简体" w:eastAsia="方正小标宋简体" w:hAnsi="宋体" w:hint="eastAsia"/>
          <w:b/>
          <w:color w:val="000000"/>
          <w:sz w:val="30"/>
          <w:szCs w:val="30"/>
        </w:rPr>
      </w:pPr>
    </w:p>
    <w:p w14:paraId="3B2C2221" w14:textId="77777777" w:rsidR="007B5E3B" w:rsidRDefault="007B5E3B" w:rsidP="007B5E3B">
      <w:pPr>
        <w:spacing w:line="360" w:lineRule="auto"/>
        <w:jc w:val="center"/>
        <w:rPr>
          <w:b/>
          <w:bCs/>
          <w:w w:val="80"/>
          <w:sz w:val="52"/>
          <w:szCs w:val="52"/>
        </w:rPr>
      </w:pPr>
      <w:r>
        <w:rPr>
          <w:rFonts w:hint="eastAsia"/>
          <w:b/>
          <w:bCs/>
          <w:w w:val="80"/>
          <w:sz w:val="52"/>
          <w:szCs w:val="52"/>
        </w:rPr>
        <w:t>《</w:t>
      </w:r>
      <w:r w:rsidRPr="004822C9">
        <w:rPr>
          <w:rFonts w:hint="eastAsia"/>
          <w:b/>
          <w:bCs/>
          <w:w w:val="80"/>
          <w:sz w:val="52"/>
          <w:szCs w:val="52"/>
        </w:rPr>
        <w:t>数据通信与网络课程设计</w:t>
      </w:r>
      <w:r>
        <w:rPr>
          <w:rFonts w:hint="eastAsia"/>
          <w:b/>
          <w:bCs/>
          <w:w w:val="80"/>
          <w:sz w:val="52"/>
          <w:szCs w:val="52"/>
        </w:rPr>
        <w:t>》课程设计日志</w:t>
      </w:r>
    </w:p>
    <w:p w14:paraId="27261EF0" w14:textId="77777777" w:rsidR="007B5E3B" w:rsidRPr="0005659F" w:rsidRDefault="007B5E3B" w:rsidP="007B5E3B">
      <w:pPr>
        <w:spacing w:beforeLines="50" w:before="120" w:afterLines="50" w:after="120" w:line="480" w:lineRule="auto"/>
        <w:jc w:val="center"/>
        <w:rPr>
          <w:rFonts w:ascii="黑体" w:eastAsia="黑体" w:hAnsi="微软雅黑" w:hint="eastAsia"/>
          <w:color w:val="000000"/>
          <w:spacing w:val="20"/>
          <w:sz w:val="52"/>
          <w:szCs w:val="52"/>
        </w:rPr>
      </w:pPr>
    </w:p>
    <w:p w14:paraId="7C7D9395" w14:textId="77777777" w:rsidR="007B5E3B" w:rsidRDefault="007B5E3B" w:rsidP="007B5E3B">
      <w:pPr>
        <w:spacing w:beforeLines="50" w:before="120" w:afterLines="50" w:after="120" w:line="480" w:lineRule="auto"/>
        <w:jc w:val="center"/>
        <w:rPr>
          <w:rFonts w:ascii="方正小标宋简体" w:eastAsia="方正小标宋简体" w:hAnsi="宋体" w:hint="eastAsia"/>
          <w:color w:val="000000"/>
          <w:spacing w:val="20"/>
          <w:sz w:val="52"/>
          <w:szCs w:val="52"/>
        </w:rPr>
      </w:pPr>
    </w:p>
    <w:p w14:paraId="7893B662" w14:textId="5BF288AE" w:rsidR="007B5E3B" w:rsidRPr="007B5E3B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proofErr w:type="gramStart"/>
      <w:r w:rsidRPr="007B5E3B">
        <w:rPr>
          <w:rFonts w:ascii="楷体_GB2312" w:eastAsia="楷体_GB2312" w:hint="eastAsia"/>
          <w:b/>
          <w:bCs/>
          <w:sz w:val="30"/>
          <w:szCs w:val="28"/>
        </w:rPr>
        <w:t>课设题目</w:t>
      </w:r>
      <w:proofErr w:type="gramEnd"/>
      <w:r w:rsidRPr="007B5E3B">
        <w:rPr>
          <w:rFonts w:ascii="楷体_GB2312" w:eastAsia="楷体_GB2312" w:hint="eastAsia"/>
          <w:b/>
          <w:bCs/>
          <w:sz w:val="30"/>
          <w:szCs w:val="28"/>
        </w:rPr>
        <w:t>：</w:t>
      </w:r>
      <w:r w:rsidR="00CD7C46" w:rsidRPr="00CD7C46">
        <w:rPr>
          <w:rFonts w:ascii="楷体_GB2312" w:eastAsia="楷体_GB2312"/>
          <w:b/>
          <w:bCs/>
          <w:sz w:val="30"/>
          <w:szCs w:val="28"/>
        </w:rPr>
        <w:t>基于 MQTT 的多节点环境监测系统设计</w:t>
      </w:r>
    </w:p>
    <w:p w14:paraId="55C8C629" w14:textId="77777777" w:rsidR="008B2CF0" w:rsidRPr="007B5E3B" w:rsidRDefault="008B2CF0" w:rsidP="008B2CF0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7B5E3B">
        <w:rPr>
          <w:rFonts w:ascii="楷体_GB2312" w:eastAsia="楷体_GB2312" w:hint="eastAsia"/>
          <w:b/>
          <w:bCs/>
          <w:sz w:val="30"/>
          <w:szCs w:val="28"/>
        </w:rPr>
        <w:t>所在小组：</w:t>
      </w:r>
    </w:p>
    <w:p w14:paraId="1266F6C7" w14:textId="6F46B0FD" w:rsidR="007B5E3B" w:rsidRPr="007B5E3B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7B5E3B">
        <w:rPr>
          <w:rFonts w:ascii="楷体_GB2312" w:eastAsia="楷体_GB2312" w:hint="eastAsia"/>
          <w:b/>
          <w:bCs/>
          <w:sz w:val="30"/>
          <w:szCs w:val="28"/>
        </w:rPr>
        <w:t>学生姓名：胡艺瀚</w:t>
      </w:r>
      <w:r w:rsidR="00CD7C46">
        <w:rPr>
          <w:rFonts w:ascii="楷体_GB2312" w:eastAsia="楷体_GB2312" w:hint="eastAsia"/>
          <w:b/>
          <w:bCs/>
          <w:sz w:val="30"/>
          <w:szCs w:val="28"/>
        </w:rPr>
      </w:r>
    </w:p>
    <w:p w14:paraId="1315E8A4" w14:textId="1D779368" w:rsidR="007B5E3B" w:rsidRPr="007B5E3B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7B5E3B">
        <w:rPr>
          <w:rFonts w:ascii="楷体_GB2312" w:eastAsia="楷体_GB2312" w:hint="eastAsia"/>
          <w:b/>
          <w:bCs/>
          <w:sz w:val="30"/>
          <w:szCs w:val="28"/>
        </w:rPr>
        <w:t>学    号：2023905925</w:t>
      </w:r>
      <w:r w:rsidR="0035587F">
        <w:rPr>
          <w:rFonts w:ascii="楷体_GB2312" w:eastAsia="楷体_GB2312" w:hint="eastAsia"/>
          <w:b/>
          <w:bCs/>
          <w:sz w:val="30"/>
          <w:szCs w:val="28"/>
        </w:rPr>
      </w:r>
      <w:r w:rsidR="0035587F">
        <w:rPr>
          <w:rFonts w:ascii="楷体_GB2312" w:eastAsia="楷体_GB2312"/>
          <w:b/>
          <w:bCs/>
          <w:sz w:val="30"/>
          <w:szCs w:val="28"/>
        </w:rPr>
      </w:r>
      <w:r w:rsidRPr="007B5E3B">
        <w:rPr>
          <w:rFonts w:ascii="楷体_GB2312" w:eastAsia="楷体_GB2312" w:hint="eastAsia"/>
          <w:b/>
          <w:bCs/>
          <w:sz w:val="30"/>
          <w:szCs w:val="28"/>
        </w:rPr>
      </w:r>
      <w:r w:rsidR="00CD7C46">
        <w:rPr>
          <w:rFonts w:ascii="楷体_GB2312" w:eastAsia="楷体_GB2312" w:hint="eastAsia"/>
          <w:b/>
          <w:bCs/>
          <w:sz w:val="30"/>
          <w:szCs w:val="28"/>
        </w:rPr>
      </w:r>
    </w:p>
    <w:p w14:paraId="4A8AA5D5" w14:textId="4685B39A" w:rsidR="007B5E3B" w:rsidRPr="007B5E3B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7B5E3B">
        <w:rPr>
          <w:rFonts w:ascii="楷体_GB2312" w:eastAsia="楷体_GB2312" w:hint="eastAsia"/>
          <w:b/>
          <w:bCs/>
          <w:sz w:val="30"/>
          <w:szCs w:val="28"/>
        </w:rPr>
        <w:t>班    级：2023240303</w:t>
      </w:r>
      <w:r w:rsidR="0035587F">
        <w:rPr>
          <w:rFonts w:ascii="楷体_GB2312" w:eastAsia="楷体_GB2312" w:hint="eastAsia"/>
          <w:b/>
          <w:bCs/>
          <w:sz w:val="30"/>
          <w:szCs w:val="28"/>
        </w:rPr>
      </w:r>
      <w:r w:rsidR="0035587F">
        <w:rPr>
          <w:rFonts w:ascii="楷体_GB2312" w:eastAsia="楷体_GB2312"/>
          <w:b/>
          <w:bCs/>
          <w:sz w:val="30"/>
          <w:szCs w:val="28"/>
        </w:rPr>
      </w:r>
      <w:r w:rsidRPr="007B5E3B">
        <w:rPr>
          <w:rFonts w:ascii="楷体_GB2312" w:eastAsia="楷体_GB2312" w:hint="eastAsia"/>
          <w:b/>
          <w:bCs/>
          <w:sz w:val="30"/>
          <w:szCs w:val="28"/>
        </w:rPr>
      </w:r>
      <w:r w:rsidR="00CD7C46">
        <w:rPr>
          <w:rFonts w:ascii="楷体_GB2312" w:eastAsia="楷体_GB2312" w:hint="eastAsia"/>
          <w:b/>
          <w:bCs/>
          <w:sz w:val="30"/>
          <w:szCs w:val="28"/>
        </w:rPr>
      </w:r>
    </w:p>
    <w:p w14:paraId="4408B671" w14:textId="7483E507" w:rsidR="007B5E3B" w:rsidRPr="007B5E3B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7B5E3B">
        <w:rPr>
          <w:rFonts w:ascii="楷体_GB2312" w:eastAsia="楷体_GB2312" w:hint="eastAsia"/>
          <w:b/>
          <w:bCs/>
          <w:sz w:val="30"/>
          <w:szCs w:val="28"/>
        </w:rPr>
        <w:t>小组成员：孙博宇、韦煜城、曾家豪</w:t>
      </w:r>
      <w:r w:rsidR="00CD7C46">
        <w:rPr>
          <w:rFonts w:ascii="楷体_GB2312" w:eastAsia="楷体_GB2312" w:hint="eastAsia"/>
          <w:b/>
          <w:bCs/>
          <w:sz w:val="30"/>
          <w:szCs w:val="28"/>
        </w:rPr>
      </w:r>
      <w:r w:rsidR="00BF1FF6">
        <w:rPr>
          <w:rFonts w:ascii="楷体_GB2312" w:eastAsia="楷体_GB2312" w:hint="eastAsia"/>
          <w:b/>
          <w:bCs/>
          <w:sz w:val="30"/>
          <w:szCs w:val="28"/>
        </w:rPr>
      </w:r>
      <w:proofErr w:type="gramStart"/>
      <w:r w:rsidR="00BF1FF6">
        <w:rPr>
          <w:rFonts w:ascii="楷体_GB2312" w:eastAsia="楷体_GB2312" w:hint="eastAsia"/>
          <w:b/>
          <w:bCs/>
          <w:sz w:val="30"/>
          <w:szCs w:val="28"/>
        </w:rPr>
      </w:r>
      <w:proofErr w:type="gramEnd"/>
    </w:p>
    <w:p w14:paraId="1D4BF3A1" w14:textId="5834ADDC" w:rsidR="007B5E3B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7B5E3B">
        <w:rPr>
          <w:rFonts w:ascii="楷体_GB2312" w:eastAsia="楷体_GB2312" w:hint="eastAsia"/>
          <w:b/>
          <w:bCs/>
          <w:sz w:val="30"/>
          <w:szCs w:val="28"/>
        </w:rPr>
        <w:t>本人主要分工：软件设计、性能测试与项目推进</w:t>
      </w:r>
      <w:r w:rsidR="00CD7C46">
        <w:rPr>
          <w:rFonts w:ascii="楷体_GB2312" w:eastAsia="楷体_GB2312" w:hint="eastAsia"/>
          <w:b/>
          <w:bCs/>
          <w:sz w:val="30"/>
          <w:szCs w:val="28"/>
        </w:rPr>
      </w:r>
      <w:r w:rsidR="00E71B09">
        <w:rPr>
          <w:rFonts w:ascii="楷体_GB2312" w:eastAsia="楷体_GB2312" w:hint="eastAsia"/>
          <w:b/>
          <w:bCs/>
          <w:sz w:val="30"/>
          <w:szCs w:val="28"/>
        </w:rPr>
      </w:r>
      <w:r w:rsidR="007C5610">
        <w:rPr>
          <w:rFonts w:ascii="楷体_GB2312" w:eastAsia="楷体_GB2312" w:hint="eastAsia"/>
          <w:b/>
          <w:bCs/>
          <w:sz w:val="30"/>
          <w:szCs w:val="28"/>
        </w:rPr>
      </w:r>
      <w:r w:rsidR="00CD7C46">
        <w:rPr>
          <w:rFonts w:ascii="楷体_GB2312" w:eastAsia="楷体_GB2312" w:hint="eastAsia"/>
          <w:b/>
          <w:bCs/>
          <w:sz w:val="30"/>
          <w:szCs w:val="28"/>
        </w:rPr>
      </w:r>
    </w:p>
    <w:p w14:paraId="05CE3485" w14:textId="77777777" w:rsidR="007B5E3B" w:rsidRPr="009A0E37" w:rsidRDefault="007B5E3B" w:rsidP="007B5E3B">
      <w:pPr>
        <w:ind w:leftChars="600" w:left="1440" w:firstLineChars="280" w:firstLine="843"/>
        <w:rPr>
          <w:rFonts w:ascii="楷体_GB2312" w:eastAsia="楷体_GB2312"/>
          <w:b/>
          <w:bCs/>
          <w:sz w:val="30"/>
          <w:szCs w:val="28"/>
        </w:rPr>
      </w:pPr>
      <w:r w:rsidRPr="009A0E37">
        <w:rPr>
          <w:rFonts w:ascii="楷体_GB2312" w:eastAsia="楷体_GB2312" w:hint="eastAsia"/>
          <w:b/>
          <w:bCs/>
          <w:sz w:val="30"/>
          <w:szCs w:val="28"/>
        </w:rPr>
        <w:t>指导老师：</w:t>
      </w:r>
      <w:r>
        <w:rPr>
          <w:rFonts w:ascii="楷体_GB2312" w:eastAsia="楷体_GB2312" w:hint="eastAsia"/>
          <w:b/>
          <w:bCs/>
          <w:sz w:val="30"/>
          <w:szCs w:val="28"/>
        </w:rPr>
        <w:t>和洁，</w:t>
      </w:r>
      <w:r w:rsidRPr="009A0E37">
        <w:rPr>
          <w:rFonts w:ascii="楷体_GB2312" w:eastAsia="楷体_GB2312" w:hint="eastAsia"/>
          <w:b/>
          <w:bCs/>
          <w:sz w:val="30"/>
          <w:szCs w:val="28"/>
        </w:rPr>
        <w:t>傅攀峰</w:t>
      </w:r>
      <w:r>
        <w:rPr>
          <w:rFonts w:ascii="楷体_GB2312" w:eastAsia="楷体_GB2312" w:hint="eastAsia"/>
          <w:b/>
          <w:bCs/>
          <w:sz w:val="30"/>
          <w:szCs w:val="28"/>
        </w:rPr>
        <w:t>，刘若辰</w:t>
      </w:r>
    </w:p>
    <w:p w14:paraId="52C17B4D" w14:textId="77777777" w:rsidR="007B5E3B" w:rsidRDefault="008B2CF0" w:rsidP="007B5E3B">
      <w:pPr>
        <w:ind w:leftChars="600" w:left="1440" w:firstLineChars="280" w:firstLine="843"/>
        <w:rPr>
          <w:b/>
          <w:bCs/>
          <w:sz w:val="48"/>
        </w:rPr>
      </w:pPr>
      <w:r>
        <w:rPr>
          <w:rFonts w:ascii="楷体_GB2312" w:eastAsia="楷体_GB2312" w:hint="eastAsia"/>
          <w:b/>
          <w:bCs/>
          <w:sz w:val="30"/>
          <w:szCs w:val="28"/>
        </w:rPr>
        <w:t xml:space="preserve">时 </w:t>
      </w:r>
      <w:r>
        <w:rPr>
          <w:rFonts w:ascii="楷体_GB2312" w:eastAsia="楷体_GB2312"/>
          <w:b/>
          <w:bCs/>
          <w:sz w:val="30"/>
          <w:szCs w:val="28"/>
        </w:rPr>
        <w:t xml:space="preserve">   </w:t>
      </w:r>
      <w:r>
        <w:rPr>
          <w:rFonts w:ascii="楷体_GB2312" w:eastAsia="楷体_GB2312" w:hint="eastAsia"/>
          <w:b/>
          <w:bCs/>
          <w:sz w:val="30"/>
          <w:szCs w:val="28"/>
        </w:rPr>
        <w:t>间：</w:t>
      </w:r>
      <w:r w:rsidRPr="009A0E37">
        <w:rPr>
          <w:rFonts w:ascii="楷体_GB2312" w:eastAsia="楷体_GB2312" w:hint="eastAsia"/>
          <w:b/>
          <w:bCs/>
          <w:sz w:val="30"/>
          <w:szCs w:val="28"/>
        </w:rPr>
        <w:t>20</w:t>
      </w:r>
      <w:r w:rsidRPr="009A0E37">
        <w:rPr>
          <w:rFonts w:ascii="楷体_GB2312" w:eastAsia="楷体_GB2312"/>
          <w:b/>
          <w:bCs/>
          <w:sz w:val="30"/>
          <w:szCs w:val="28"/>
        </w:rPr>
        <w:t>2</w:t>
      </w:r>
      <w:r>
        <w:rPr>
          <w:rFonts w:ascii="楷体_GB2312" w:eastAsia="楷体_GB2312"/>
          <w:b/>
          <w:bCs/>
          <w:sz w:val="30"/>
          <w:szCs w:val="28"/>
        </w:rPr>
        <w:t>6</w:t>
      </w:r>
      <w:r w:rsidRPr="009A0E37">
        <w:rPr>
          <w:rFonts w:ascii="楷体_GB2312" w:eastAsia="楷体_GB2312" w:hint="eastAsia"/>
          <w:b/>
          <w:bCs/>
          <w:sz w:val="30"/>
          <w:szCs w:val="28"/>
        </w:rPr>
        <w:t>年</w:t>
      </w:r>
      <w:r>
        <w:rPr>
          <w:rFonts w:ascii="楷体_GB2312" w:eastAsia="楷体_GB2312"/>
          <w:b/>
          <w:bCs/>
          <w:sz w:val="30"/>
          <w:szCs w:val="28"/>
        </w:rPr>
        <w:t>6</w:t>
      </w:r>
      <w:r w:rsidRPr="009A0E37">
        <w:rPr>
          <w:rFonts w:ascii="楷体_GB2312" w:eastAsia="楷体_GB2312" w:hint="eastAsia"/>
          <w:b/>
          <w:bCs/>
          <w:sz w:val="30"/>
          <w:szCs w:val="28"/>
        </w:rPr>
        <w:t>月</w:t>
      </w:r>
    </w:p>
    <w:p w14:paraId="63A42086" w14:textId="77777777" w:rsidR="007B5E3B" w:rsidRDefault="007B5E3B" w:rsidP="007B5E3B">
      <w:pPr>
        <w:tabs>
          <w:tab w:val="left" w:pos="0"/>
        </w:tabs>
        <w:spacing w:line="360" w:lineRule="auto"/>
        <w:rPr>
          <w:rStyle w:val="a9"/>
          <w:rFonts w:ascii="黑体" w:eastAsia="黑体" w:hAnsi="宋体" w:hint="eastAsia"/>
        </w:rPr>
      </w:pPr>
    </w:p>
    <w:p w14:paraId="2A808F92" w14:textId="77777777" w:rsidR="00B115EA" w:rsidRDefault="00B115EA" w:rsidP="007B5E3B">
      <w:pPr>
        <w:tabs>
          <w:tab w:val="left" w:pos="0"/>
        </w:tabs>
        <w:spacing w:line="360" w:lineRule="auto"/>
        <w:rPr>
          <w:rStyle w:val="a9"/>
          <w:rFonts w:ascii="黑体" w:eastAsia="黑体" w:hAnsi="宋体" w:hint="eastAsia"/>
        </w:rPr>
      </w:pPr>
    </w:p>
    <w:p w14:paraId="2110942E" w14:textId="77777777" w:rsidR="00B115EA" w:rsidRDefault="00B115EA" w:rsidP="007B5E3B">
      <w:pPr>
        <w:tabs>
          <w:tab w:val="left" w:pos="0"/>
        </w:tabs>
        <w:spacing w:line="360" w:lineRule="auto"/>
        <w:rPr>
          <w:rStyle w:val="a9"/>
          <w:rFonts w:ascii="黑体" w:eastAsia="黑体" w:hAnsi="宋体" w:hint="eastAsia"/>
        </w:rPr>
      </w:pPr>
    </w:p>
    <w:p w14:paraId="14116EC6" w14:textId="77777777" w:rsidR="00B115EA" w:rsidRPr="009A0E37" w:rsidRDefault="00B115EA" w:rsidP="007B5E3B">
      <w:pPr>
        <w:tabs>
          <w:tab w:val="left" w:pos="0"/>
        </w:tabs>
        <w:spacing w:line="360" w:lineRule="auto"/>
        <w:rPr>
          <w:rStyle w:val="a9"/>
          <w:rFonts w:ascii="黑体" w:eastAsia="黑体" w:hAnsi="宋体" w:hint="eastAsia"/>
        </w:rPr>
      </w:pPr>
    </w:p>
    <w:p w14:paraId="7BD34F08" w14:textId="77777777" w:rsidR="007B5E3B" w:rsidRDefault="007B5E3B" w:rsidP="00A300C6">
      <w:pPr>
        <w:widowControl/>
        <w:jc w:val="center"/>
        <w:rPr>
          <w:rFonts w:ascii="方正小标宋简体" w:eastAsia="方正小标宋简体"/>
          <w:b/>
          <w:bCs/>
          <w:color w:val="000000"/>
          <w:sz w:val="30"/>
          <w:szCs w:val="30"/>
        </w:rPr>
      </w:pPr>
      <w:r>
        <w:rPr>
          <w:rFonts w:ascii="方正小标宋简体" w:eastAsia="方正小标宋简体" w:hint="eastAsia"/>
          <w:b/>
          <w:bCs/>
          <w:color w:val="000000"/>
          <w:sz w:val="30"/>
          <w:szCs w:val="30"/>
        </w:rPr>
        <w:t>信息工程学院</w:t>
      </w:r>
    </w:p>
    <w:p w14:paraId="748BF371" w14:textId="77777777" w:rsidR="00B115EA" w:rsidRDefault="00B115EA" w:rsidP="00A300C6">
      <w:pPr>
        <w:widowControl/>
        <w:jc w:val="center"/>
      </w:pPr>
    </w:p>
    <w:p>
      <w:pPr>
        <w:pStyle w:val="3"/>
      </w:pPr>
      <w:r>
        <w:t>第 1 个工作日：题目理解、项目规划与需求设计</w:t>
      </w:r>
    </w:p>
    <w:p>
      <w:r>
        <w:t>日期：2026年6月8日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主要完成课程设计项目的启动与整体规划。上午认真听取老师对课程设计的讲解，了解整体安排、工作日进度、阶段检查、报告结构、答辩方式和测试证据要求；老师强调要体现工程思维，从需求分析、方案设计、协议选择、测试验证到过程记录完整说明设计依据。课后对本组选题进行分析，组织并参与第一次小组会议，讨论应用场景、技术路线、分工与性能目标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梳理课程设计的阶段要求、提交材料和答辩重点。</w:t>
      </w:r>
    </w:p>
    <w:p>
      <w:pPr>
        <w:spacing w:line="324" w:lineRule="auto"/>
      </w:pPr>
      <w:r>
        <w:t>② 主导构建项目整体推进流程，确定“一个模块一个模块推进”的方式。</w:t>
      </w:r>
    </w:p>
    <w:p>
      <w:pPr>
        <w:spacing w:line="324" w:lineRule="auto"/>
      </w:pPr>
      <w:r>
        <w:t>③ 规划 GitHub 协作流程，通过 Issue、commit、README 进度和文档进行过程留痕。</w:t>
      </w:r>
    </w:p>
    <w:p>
      <w:pPr>
        <w:spacing w:line="324" w:lineRule="auto"/>
      </w:pPr>
      <w:r>
        <w:t>④ 组织第一次小组会议，明确分工：本人和曾家豪负责软件侧，孙博宇和韦煜城负责硬件侧。</w:t>
      </w:r>
    </w:p>
    <w:p>
      <w:pPr>
        <w:spacing w:line="324" w:lineRule="auto"/>
      </w:pPr>
      <w:r>
        <w:t>⑤ 完成项目基础目录结构搭建、课程资料归档与 README 初版。</w:t>
      </w:r>
    </w:p>
    <w:p>
      <w:pPr>
        <w:spacing w:line="324" w:lineRule="auto"/>
      </w:pPr>
      <w:r>
        <w:t>⑥ 完成《需求分析与设计指标》初稿，以及《MQTT 主题与消息格式设计》文档（Topic 命名、JSON 字段与中文显示映射）。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项目初期任务较多，一次性规划过大容易导致后续执行压力过大。</w:t>
      </w:r>
    </w:p>
    <w:p>
      <w:pPr>
        <w:spacing w:line="324" w:lineRule="auto"/>
      </w:pPr>
      <w:r>
        <w:t>② 设计 MQTT Topic 和 JSON 字段时，需要判断是否可使用中文命名。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采用“一个模块一个模块推进”的流程，每次只围绕当前模块完成设计、实现和提交。</w:t>
      </w:r>
    </w:p>
    <w:p>
      <w:pPr>
        <w:spacing w:line="324" w:lineRule="auto"/>
      </w:pPr>
      <w:r>
        <w:t>② 确定文档和页面展示用中文，但 Topic、JSON 字段和代码变量统一用英文，减少编码兼容与抓包分析问题。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完成项目仓库初始结构、README 初版，以及需求分析与 MQTT 协议设计文档。</w:t>
      </w:r>
    </w:p>
    <w:p>
      <w:pPr>
        <w:spacing w:line="324" w:lineRule="auto"/>
      </w:pPr>
      <w:r>
        <w:t>② 主导确定项目整体流程与小组分工，并整理第一次会议记录。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推进 GitHub 协作流程规范。</w:t>
      </w:r>
    </w:p>
    <w:p>
      <w:pPr>
        <w:spacing w:line="324" w:lineRule="auto"/>
      </w:pPr>
      <w:r>
        <w:t>② 进行本地 MQTT Broker 方案调研，为 PC 模拟节点和监控端开发做准备。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2 个工作日：协作流程规范与本地 Broker 验证</w:t>
      </w:r>
    </w:p>
    <w:p>
      <w:r>
        <w:t>日期：2026年6月9日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今天主要围绕 GitHub 协作流程规范和软件侧开发准备开展工作。对小组成员提交的 Issue 和 PR 进行审查，进一步规范“先 Issue、再 PR、审查后合并”的流程；并编写本地 MQTT Broker 与发布订阅测试脚本，为 PC 模拟节点和 Web 监控端开发打基础。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审查队友提交的 ESP32 硬件节点设计、工程化分析等 Issue 和 PR，整理可复制到评论区的修改建议（文件名补 .md、PR 关联 Issue、文档范围压缩、协议一致性检查等）。</w:t>
      </w:r>
    </w:p>
    <w:p>
      <w:pPr>
        <w:spacing w:line="324" w:lineRule="auto"/>
      </w:pPr>
      <w:r>
        <w:t>② 处理 GitHub 分支同步与推送问题，熟悉 fetch、pull --ff-only、merge、push 等操作。</w:t>
      </w:r>
    </w:p>
    <w:p>
      <w:pPr>
        <w:spacing w:line="324" w:lineRule="auto"/>
      </w:pPr>
      <w:r>
        <w:t>③ 新增 requirements.txt，记录 paho-mqtt 与 amqtt 依赖。</w:t>
      </w:r>
    </w:p>
    <w:p>
      <w:pPr>
        <w:spacing w:line="324" w:lineRule="auto"/>
      </w:pPr>
      <w:r>
        <w:t>④ 编写 scripts/mqtt_broker.py 启动本地轻量 Broker，以及发布/订阅测试脚本。</w:t>
      </w:r>
    </w:p>
    <w:p>
      <w:pPr>
        <w:spacing w:line="324" w:lineRule="auto"/>
      </w:pPr>
      <w:r>
        <w:t>⑤ 用 Python 脚本完成 2 个节点、4 类环境数据共 8 条消息的发布订阅验证。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本地 main 与远程 main 存在差异，直接 push 被拒绝。</w:t>
      </w:r>
    </w:p>
    <w:p>
      <w:pPr>
        <w:spacing w:line="324" w:lineRule="auto"/>
      </w:pPr>
      <w:r>
        <w:t>② 队友的 Issue 和 PR 存在任务范围偏大、文件名缺后缀、PR 与 Issue 未关联等问题。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先 fetch 再用 pull --ff-only 将本地快进到远程最新，理解了远程更新时不能直接推送的原因。</w:t>
      </w:r>
    </w:p>
    <w:p>
      <w:pPr>
        <w:spacing w:line="324" w:lineRule="auto"/>
      </w:pPr>
      <w:r>
        <w:t>② 采用先审查、再评论建议、最后由对应负责人修改的方式处理队友 PR，既规范又保留各自工作过程。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 Issue 与 PR 审查，明确队友 PR 合并前需修改的问题。</w:t>
      </w:r>
    </w:p>
    <w:p>
      <w:pPr>
        <w:spacing w:line="324" w:lineRule="auto"/>
      </w:pPr>
      <w:r>
        <w:t>② 完成本地 Broker 与发布订阅测试脚本，成功收发 8 条测试消息。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实现 PC 模拟环境监测节点。</w:t>
      </w:r>
    </w:p>
    <w:p>
      <w:pPr>
        <w:spacing w:line="324" w:lineRule="auto"/>
      </w:pPr>
      <w:r>
        <w:t>② 实现 Web 监控端订阅显示功能。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3 个工作日：PC 模拟节点与 Web 监控端实现</w:t>
      </w:r>
    </w:p>
    <w:p>
      <w:r>
        <w:t>日期：2026年6月10日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今天是中期检查前的最后一个工作日，主要完成软件侧两个核心模块——PC 模拟节点和 Web 监控端，并审查合并队友的 ESP32 设计文档。目标是让“模拟节点 → Broker → 监控端显示”的完整软件链路真正跑起来，为中期检查提供可演示、可验证的成果。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实现 PC 模拟节点 sim_node.py，支持节点编号、数据类型、上传周期和 QoS 等命令行配置。</w:t>
      </w:r>
    </w:p>
    <w:p>
      <w:pPr>
        <w:spacing w:line="324" w:lineRule="auto"/>
      </w:pPr>
      <w:r>
        <w:t>② 采用均值回归随机游走生成温湿度、光照、噪声等数据，使其平滑变化、贴近真实环境。</w:t>
      </w:r>
    </w:p>
    <w:p>
      <w:pPr>
        <w:spacing w:line="324" w:lineRule="auto"/>
      </w:pPr>
      <w:r>
        <w:t>③ 实现断线自动重连与 QoS 1 离线排队补发，经双节点并发与 Broker 重启验证重连能力。</w:t>
      </w:r>
    </w:p>
    <w:p>
      <w:pPr>
        <w:spacing w:line="324" w:lineRule="auto"/>
      </w:pPr>
      <w:r>
        <w:t>④ 实现 Web 监控端 web_monitor.py，基于 Flask + SSE 网页实时刷新，无需手动刷新。</w:t>
      </w:r>
    </w:p>
    <w:p>
      <w:pPr>
        <w:spacing w:line="324" w:lineRule="auto"/>
      </w:pPr>
      <w:r>
        <w:t>⑤ 实现节点编号、数据类型中文映射、数值、单位、上传/接收时间显示，记录毫秒级接收日志，15 秒无数据自动标记离线。</w:t>
      </w:r>
    </w:p>
    <w:p>
      <w:pPr>
        <w:spacing w:line="324" w:lineRule="auto"/>
      </w:pPr>
      <w:r>
        <w:t>⑥ 编写两模块的运行验证文档；审查并合并队友孙博宇的两个 ESP32 设计 PR，合并前指出文件名与数据类型口径问题。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纯随机数生成的模拟数据会无规律剧烈跳变，不像真实环境数据。</w:t>
      </w:r>
    </w:p>
    <w:p>
      <w:pPr>
        <w:spacing w:line="324" w:lineRule="auto"/>
      </w:pPr>
      <w:r>
        <w:t>② 监控端需要在不刷新页面的情况下实时更新数据。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采用均值回归随机游走，每步向基准值回归并叠加高斯噪声，使数据在合理范围内平滑漂移。</w:t>
      </w:r>
    </w:p>
    <w:p>
      <w:pPr>
        <w:spacing w:line="324" w:lineRule="auto"/>
      </w:pPr>
      <w:r>
        <w:t>② 采用 SSE，由后端在收到新消息时主动推送到浏览器。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 PC 模拟节点（Issue #16）与 Web 监控端（Issue #18）及验证文档。</w:t>
      </w:r>
    </w:p>
    <w:p>
      <w:pPr>
        <w:spacing w:line="324" w:lineRule="auto"/>
      </w:pPr>
      <w:r>
        <w:t>② 打通“模拟节点 → Broker → 监控端网页显示”完整软件链路，并完成队友两个 ESP32 PR 的审查合并。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参加课程设计中期检查。</w:t>
      </w:r>
    </w:p>
    <w:p>
      <w:pPr>
        <w:spacing w:line="324" w:lineRule="auto"/>
      </w:pPr>
      <w:r>
        <w:t>② 根据老师检查意见调整后续方案。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4 个工作日：中期检查、负载建模、MQTT 升级与性能实验</w:t>
      </w:r>
    </w:p>
    <w:p>
      <w:r>
        <w:t>日期：2026年6月11日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今天上午参加中期检查。老师指出当前方案功能完整，但还需体现“方案要由需求驱动”和“要充分考虑成本”。下午围绕反馈重新梳理工作，确定“需求建模 → 实验验证 → 需求计算器”的新主线，并开始密集推进网络负载建模、Broker 升级与性能实验。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完成中期检查汇报。</w:t>
      </w:r>
    </w:p>
    <w:p>
      <w:pPr>
        <w:spacing w:line="324" w:lineRule="auto"/>
      </w:pPr>
      <w:r>
        <w:t>② 建立“需求参数 → 网络负载 → 服务器配置 → 成本”的通用计算方法，完成《网络负载与服务器配置计算方法建模》（Issue #24）。</w:t>
      </w:r>
    </w:p>
    <w:p>
      <w:pPr>
        <w:spacing w:line="324" w:lineRule="auto"/>
      </w:pPr>
      <w:r>
        <w:t>③ 完成 MQTT 方案升级（Issue #25）：Broker 由实验性 amqtt 升级为生产级 EMQX 5.8.9，客户端升级 MQTT 5.0（Topic Alias、会话过期），新增 json / json-min / msgpack 三种 payload 格式。</w:t>
      </w:r>
    </w:p>
    <w:p>
      <w:pPr>
        <w:spacing w:line="324" w:lineRule="auto"/>
      </w:pPr>
      <w:r>
        <w:t>④ 因本地 Windows 不便做大规模压测，租用一台阿里云服务器作为实验台架，部署 EMQX 与 emqtt_bench。</w:t>
      </w:r>
    </w:p>
    <w:p>
      <w:pPr>
        <w:spacing w:line="324" w:lineRule="auto"/>
      </w:pPr>
      <w:r>
        <w:t>⑤ 完成性能实验（Issue #27）：协议开销抓包矩阵、EMQX 容量与吞吐压测（5 万连接 / 5 万条每秒）、amqtt 对照、跨公网延迟实测，并把实测系数回填建模文档。</w:t>
      </w:r>
    </w:p>
    <w:p>
      <w:pPr>
        <w:spacing w:line="324" w:lineRule="auto"/>
      </w:pPr>
      <w:r>
        <w:t>⑥ 完成需求计算器（Issue #33）：监控端新增 /calculator 页面，输入需求即输出负载、配置与成本。</w:t>
      </w:r>
    </w:p>
    <w:p>
      <w:pPr>
        <w:spacing w:line="324" w:lineRule="auto"/>
      </w:pPr>
      <w:r>
        <w:t>⑦ 补充场景实景压测与稳定性验证：2 万连接 30 分钟零掉线、转发送达 99.96%、断线重连 5.2 秒。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老师指出原方案缺少明确的需求依据与成本分析。</w:t>
      </w:r>
    </w:p>
    <w:p>
      <w:pPr>
        <w:spacing w:line="324" w:lineRule="auto"/>
      </w:pPr>
      <w:r>
        <w:t>② 本地笔记本不适合做几万连接压测，作为容量基准也不具备“可购买配置”的代表性。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建立通用计算模型，把方案选择变成可由需求参数推导的过程，而非拍脑袋决定。</w:t>
      </w:r>
    </w:p>
    <w:p>
      <w:pPr>
        <w:spacing w:line="324" w:lineRule="auto"/>
      </w:pPr>
      <w:r>
        <w:t>② 用 amqtt 作对照组同条件压测，用数据对比说明 EMQX 的容量与吞吐优势；租用配置明确的云服务器，使容量曲线可对应“什么配置支撑多少节点、成本多少”。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完成中期汇报、负载与成本建模文档、MQTT 升级、性能实验（抓包/压测/对照/延迟并校准系数）与需求计算器初版。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补充满负载与 QoS 丢包实验，使内存建模更严谨。</w:t>
      </w:r>
    </w:p>
    <w:p>
      <w:pPr>
        <w:spacing w:line="324" w:lineRule="auto"/>
      </w:pPr>
      <w:r>
        <w:t>② 进一步完善需求计算器的展示与可视化。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5 个工作日：补充性能实验与计算器升级</w:t>
      </w:r>
    </w:p>
    <w:p>
      <w:r>
        <w:t>日期：2026年6月12日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今天主要做两方面：一是补充完善性能实验使建模更严谨；二是为 ESP32 硬件节点接入做网络侧准备与对接规范。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补充满负载连接爬坡实验，发现满负载每连接内存约为空闲的 2.46 倍，说明单一安全系数估算内存不够。</w:t>
      </w:r>
    </w:p>
    <w:p>
      <w:pPr>
        <w:spacing w:line="324" w:lineRule="auto"/>
      </w:pPr>
      <w:r>
        <w:t>② 补充 QoS × 丢包实验，发现 MQTT 跑在 TCP 之上、由 TCP 重传兜底，三种 QoS 在持续连接下到达率都接近 100%，代价是延迟随丢包率上升。</w:t>
      </w:r>
    </w:p>
    <w:p>
      <w:pPr>
        <w:spacing w:line="324" w:lineRule="auto"/>
      </w:pPr>
      <w:r>
        <w:t>③ 将连接爬坡加密到 10 个档位，使内存拟合曲线更扎实。</w:t>
      </w:r>
    </w:p>
    <w:p>
      <w:pPr>
        <w:spacing w:line="324" w:lineRule="auto"/>
      </w:pPr>
      <w:r>
        <w:t>④ 升级需求计算器：内存估算改为“空闲下界 ~ 满负载上界”双模型，前端改为深色仪表盘并用图表展示模型与实测对照。</w:t>
      </w:r>
    </w:p>
    <w:p>
      <w:pPr>
        <w:spacing w:line="324" w:lineRule="auto"/>
      </w:pPr>
      <w:r>
        <w:t>⑤ 完成 ESP32 接入网络侧准备（Issue #34）：监控端与模拟节点新增可燃气体、土壤湿度类型映射，建模文档新增接入层容量约束，计算器新增所需 AP 数输出，并整理 ESP32 到网络端对接规范。</w:t>
      </w:r>
    </w:p>
    <w:p>
      <w:pPr>
        <w:spacing w:line="324" w:lineRule="auto"/>
      </w:pPr>
      <w:r>
        <w:t>⑥ 针对队友反馈的 ESP32 配网网页不稳定（Issue #35），分析原因并建议改用成熟的 WiFiManager 库。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早期内存模型用单一安全系数估算，与满负载实测差距较大。</w:t>
      </w:r>
    </w:p>
    <w:p>
      <w:pPr>
        <w:spacing w:line="324" w:lineRule="auto"/>
      </w:pPr>
      <w:r>
        <w:t>② 队友 ESP32 固件采集的传感器类型与监控端原有类型不一致。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专门做满负载爬坡实验得到满负载内存曲线，把计算器升级为空闲~满负载双模型，选型按满负载上界取值。</w:t>
      </w:r>
    </w:p>
    <w:p>
      <w:pPr>
        <w:spacing w:line="324" w:lineRule="auto"/>
      </w:pPr>
      <w:r>
        <w:t>② 在监控端与模拟节点补充对应类型映射与单位，使队友数据正确显示。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完成满负载爬坡与 QoS 丢包两项补充实验、计算器内存双模型与可视化升级、ESP32 接入网络侧准备与对接规范。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搭建 ESP32 联调所需的服务器环境，验证从硬件节点到监控端的完整链路。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6 个工作日：EMQX 部署与端到端联调</w:t>
      </w:r>
    </w:p>
    <w:p>
      <w:r>
        <w:t>日期：2026年6月13日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今天主要搭建并验证 ESP32 接入所需的服务器侧环境。考虑到方案主线是 EMQX，为使演示与报告一致，在本地用 Docker 部署 EMQX 5.8.9（与压测同版本），由笔记本扮演“未来自建部署的服务器”，并用模拟节点完整验证从设备到监控端的链路。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在本地用 Docker 部署 EMQX 5.8.9，映射 MQTT 端口 1883 与 Dashboard 端口 18083。</w:t>
      </w:r>
    </w:p>
    <w:p>
      <w:pPr>
        <w:spacing w:line="324" w:lineRule="auto"/>
      </w:pPr>
      <w:r>
        <w:t>② 配置 Windows 移动热点组网，使 ESP32 与笔记本同处一个局域网，笔记本固定 IP 192.168.137.1 作为 Broker 地址。</w:t>
      </w:r>
    </w:p>
    <w:p>
      <w:pPr>
        <w:spacing w:line="324" w:lineRule="auto"/>
      </w:pPr>
      <w:r>
        <w:t>③ 用 PC 模拟节点模拟 ESP32（完整 JSON、MQTT 3.1.1）经热点 IP 连接 EMQX，端到端验证服务器侧链路全通，监控端正确显示四类数据。</w:t>
      </w:r>
    </w:p>
    <w:p>
      <w:pPr>
        <w:spacing w:line="324" w:lineRule="auto"/>
      </w:pPr>
      <w:r>
        <w:t>④ 编写《EMQX 部署与联调说明》，记录部署、启停、联调、验证流程与常见问题排查。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演示用本地 Mosquitto 还是 EMQX 的一致性问题；Docker 拉取镜像报错；担心 Docker 端口映射只绑本机导致 ESP32 连不上。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演示统一改用与压测同版本的 EMQX 5.8.9（Docker），自带 Dashboard 便于答辩；登录 Docker Hub 后重新拉取成功；用模拟节点经热点 IP 验证，确认端口映射对外可见、ESP32 可连入。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完成本地 EMQX 5.8.9 的 Docker 部署、从设备到监控端的端到端联调验证，以及《EMQX 部署与联调说明》文档。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等硬件队友完成 ESP32 配网与 MQTT 上传后进行真机联调，并继续推进报告与答辩材料整理。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7 个工作日：ESP32 室外长测的服务器侧记录与分析</w:t>
      </w:r>
    </w:p>
    <w:p>
      <w:r>
        <w:t>日期：2026年6月15日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今天配合硬件队友的 ESP32 室外全天长测，负责服务器侧的数据记录与分析。在云端用持久会话记录器 7×24 接收并落盘，本地无需开机；事后对约 15 小时数据做到达率统计与曲线分析，并定位光照数据异常的根因（属硬件侧）。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在云服务器部署 cloud_recorder.py（QoS 1、持久会话、systemd 常驻），持续记录 ESP32 上报数据。</w:t>
      </w:r>
    </w:p>
    <w:p>
      <w:pPr>
        <w:spacing w:line="324" w:lineRule="auto"/>
      </w:pPr>
      <w:r>
        <w:t>② 统计到达率：全天约 8547 条、整体到达率 95.0%，期间 2 次网络中断；明确“网络短时中断计入、外部停机剔除”的口径。</w:t>
      </w:r>
    </w:p>
    <w:p>
      <w:pPr>
        <w:spacing w:line="324" w:lineRule="auto"/>
      </w:pPr>
      <w:r>
        <w:t>③ 绘制温度、湿度、可燃气体、土壤湿度的全天曲线，核对其日变化形态与当日晴热天气吻合。</w:t>
      </w:r>
    </w:p>
    <w:p>
      <w:pPr>
        <w:spacing w:line="324" w:lineRule="auto"/>
      </w:pPr>
      <w:r>
        <w:t>④ 定位光照 BH1750 异常（白天多为 -1）：经比对串口与订阅链路，排除监控/订阅侧，判断为 ESP32 端 I2C 接线接触不良（模块本身正常）。</w:t>
      </w:r>
    </w:p>
    <w:p>
      <w:pPr>
        <w:spacing w:line="324" w:lineRule="auto"/>
      </w:pPr>
      <w:r>
        <w:t>⑤ 输出测试报告、全天曲线与记录/分析脚本并入库。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光照数据白天几乎全为无效值；本地不便 7×24 开机记录；需判断异常出在硬件端还是订阅/监控端。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用云端持久记录器常驻接收，避免本地长时间开机；比对串口与订阅链路排除监控端问题，定位为硬件端 I2C 接触不良；统计时区分网络中断与外部停机。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完成约 15 小时服务器侧记录与分析，四类数据合理、到达率 95.0% 达标，并定位光照问题为硬件端接线接触不良。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复核性能与协议实验数据；待硬件接线修复后补测光照；把云端记录器升级为持久服务。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8 个工作日：性能数据复核、光照修复与记录器持久化</w:t>
      </w:r>
    </w:p>
    <w:p>
      <w:r>
        <w:t>日期：2026年6月16日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今天复核已有性能与协议实验数据，配合硬件修复后补采光照数据并出曲线，并把云端记录器升级为持久服务，避免重启/欠费导致记录中断；同时梳理工程分析素材。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复核协议开销、容量/吞吐、QoS × 丢包、公网延迟等实验数据与图表，确认与建模系数一致。</w:t>
      </w:r>
    </w:p>
    <w:p>
      <w:pPr>
        <w:spacing w:line="324" w:lineRule="auto"/>
      </w:pPr>
      <w:r>
        <w:t>② 硬件队友重新接稳 BH1750 后，服务器侧记录到夜间至清晨连续约 6 小时有效光照（0 → 约 305 lux），并绘制夜晨曲线，佐证模块本身正常。</w:t>
      </w:r>
    </w:p>
    <w:p>
      <w:pPr>
        <w:spacing w:line="324" w:lineRule="auto"/>
      </w:pPr>
      <w:r>
        <w:t>③ 把云端记录器从临时单元升级为 systemd 持久服务（Restart=always、开机自启），避免服务器重启或欠费后记录中断。</w:t>
      </w:r>
    </w:p>
    <w:p>
      <w:pPr>
        <w:spacing w:line="324" w:lineRule="auto"/>
      </w:pPr>
      <w:r>
        <w:t>④ 梳理工程分析素材（实时性、可靠性、可扩展性、成本、可维护性）。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早期记录器为临时单元，服务器重启后会丢失；光照修复后需要一段干净曲线佐证 BH1750 本身正常。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将记录器改为 systemd 常驻服务并开机自启；利用夜间至清晨稳定时段采集连续有效光照数据并出图。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完成性能数据复核、光照夜晨曲线与记录器持久化，工程分析素材齐备。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补做 MQTT 与 HTTP 开销对比实验，完善监控端，撰写并扩充课程设计报告。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9 个工作日：MQTT/HTTP 对比实验、监控端完善与报告撰写</w:t>
      </w:r>
    </w:p>
    <w:p>
      <w:r>
        <w:t>日期：2026年6月17日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今天补做 MQTT 与 HTTP 的开销对比实验为协议选型提供量化依据；完善 Web 监控端（界面美化、选择订阅）；并撰写、扩充课程设计报告。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编写 compare_mqtt_http.py，逐字节实测同一条数据经 MQTT 与 HTTP 上传的应用层开销（json/json-min/msgpack 各 200 次）：MQTT 比 HTTP 节省 65%~77%，协议头开销约为其 1/8。</w:t>
      </w:r>
    </w:p>
    <w:p>
      <w:pPr>
        <w:spacing w:line="324" w:lineRule="auto"/>
      </w:pPr>
      <w:r>
        <w:t>② 美化 Web 监控端为深色仪表盘，新增“选择订阅”功能（按节点、按数据类型或全部过滤，后端按 MQTT 通配符对该连接的推送过滤），直观体现主题订阅机制。</w:t>
      </w:r>
    </w:p>
    <w:p>
      <w:pPr>
        <w:spacing w:line="324" w:lineRule="auto"/>
      </w:pPr>
      <w:r>
        <w:t>③ 厘清 QoS 选型思路：TCP 兜底连接内丢包、QoS 解决连接断开，故选 QoS 1 + 持久会话，并用 seq 去重替代 QoS 2。</w:t>
      </w:r>
    </w:p>
    <w:p>
      <w:pPr>
        <w:spacing w:line="324" w:lineRule="auto"/>
      </w:pPr>
      <w:r>
        <w:t>④ 撰写并大幅扩充课程设计报告：实现过程详写、测试证据闭环、典型问题与解决过程、设计指标达成汇总表、硬件约束与安全性、工程化总结。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需要量化“为什么选 MQTT 而不用 HTTP”；报告需补充实现细节、证据链与工程分析。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做逐字节对比实验拿到真实数据支撑选型；按“测试方法—测试结果—结果分析”补充图表与典型问题闭环。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 MQTT/HTTP 对比实验与数据归档、监控端“选择订阅”功能、以及课程设计报告的撰写与扩充。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制作答辩 PPT 的协议与硬件部分，合并队友材料并提交全部成果。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第 10 个工作日：答辩 PPT 制作与成果提交</w:t>
      </w:r>
    </w:p>
    <w:p>
      <w:r>
        <w:t>日期：2026年6月17日</w:t>
      </w:r>
    </w:p>
    <w:p>
      <w:r>
        <w:rPr>
          <w:b/>
        </w:rPr>
        <w:t>1. 今日主要工作内容</w:t>
      </w:r>
    </w:p>
    <w:p>
      <w:pPr>
        <w:spacing w:line="324" w:lineRule="auto"/>
      </w:pPr>
      <w:r>
        <w:t>今天完善答辩 PPT，合入硬件队友材料，统一接线口径，并整理、提交全部课程设计成果，完成项目闭环。</w:t>
      </w:r>
    </w:p>
    <w:p>
      <w:r>
        <w:rPr>
          <w:b/>
        </w:rPr>
        <w:t>2. 本人完成的具体任务</w:t>
      </w:r>
    </w:p>
    <w:p>
      <w:pPr>
        <w:spacing w:line="324" w:lineRule="auto"/>
      </w:pPr>
      <w:r>
        <w:t>① 完善答辩 PPT：新增“为什么选 MQTT（对比 HTTP 实测）”页、重构 QoS 论证页（讲清 TCP 与 QoS 分工）、把 2 万连接压测移到校园案例作为实验支撑、新增两页 ESP32 硬件页（组成与传感器接入、Wi-Fi 配网）。</w:t>
      </w:r>
    </w:p>
    <w:p>
      <w:pPr>
        <w:spacing w:line="324" w:lineRule="auto"/>
      </w:pPr>
      <w:r>
        <w:t>② 合并硬件队友的固件、测试记录与图片等 PR，统一接线口径（光照以串口/固件为准，即 BH1750）。</w:t>
      </w:r>
    </w:p>
    <w:p>
      <w:pPr>
        <w:spacing w:line="324" w:lineRule="auto"/>
      </w:pPr>
      <w:r>
        <w:t>③ 核对课程设计报告、源代码、汇报 PPT、个人日志与测试附件齐备。</w:t>
      </w:r>
    </w:p>
    <w:p>
      <w:pPr>
        <w:spacing w:line="324" w:lineRule="auto"/>
      </w:pPr>
      <w:r>
        <w:t>④ 用 Git 分模块提交并推送，保持过程留痕。</w:t>
      </w:r>
    </w:p>
    <w:p>
      <w:r>
        <w:rPr>
          <w:b/>
        </w:rPr>
        <w:t>3. 遇到的问题</w:t>
      </w:r>
    </w:p>
    <w:p>
      <w:pPr>
        <w:spacing w:line="324" w:lineRule="auto"/>
      </w:pPr>
      <w:r>
        <w:t>① 硬件接线图中光照模块标注与实际（BH1750）不一致；多份材料需统一并提交。</w:t>
      </w:r>
    </w:p>
    <w:p>
      <w:r>
        <w:rPr>
          <w:b/>
        </w:rPr>
        <w:t>4. 解决方法</w:t>
      </w:r>
    </w:p>
    <w:p>
      <w:pPr>
        <w:spacing w:line="324" w:lineRule="auto"/>
      </w:pPr>
      <w:r>
        <w:t>① 统一以串口/固件为准（BH1750），并提 Issue 请硬件队友更正接线图；分模块清点并提交全部成果。</w:t>
      </w:r>
    </w:p>
    <w:p>
      <w:r>
        <w:rPr>
          <w:b/>
        </w:rPr>
        <w:t>5. 今日成果</w:t>
      </w:r>
    </w:p>
    <w:p>
      <w:pPr>
        <w:spacing w:line="324" w:lineRule="auto"/>
      </w:pPr>
      <w:r>
        <w:t>① 完成答辩 PPT、材料合并与成果提交，课程设计形成完整闭环。</w:t>
      </w:r>
    </w:p>
    <w:p>
      <w:r>
        <w:rPr>
          <w:b/>
        </w:rPr>
        <w:t>6. 明日计划</w:t>
      </w:r>
    </w:p>
    <w:p>
      <w:pPr>
        <w:spacing w:line="324" w:lineRule="auto"/>
      </w:pPr>
      <w:r>
        <w:t>① 参加课程设计答辩演示。</w:t>
      </w:r>
    </w:p>
    <w:p>
      <w:pPr>
        <w:pBdr>
          <w:bottom w:val="single" w:sz="6" w:space="1" w:color="auto"/>
        </w:pBdr>
        <w:spacing w:after="120"/>
      </w:pPr>
    </w:p>
    <w:p>
      <w:pPr>
        <w:pStyle w:val="3"/>
      </w:pPr>
      <w:r>
        <w:t>个人总结</w:t>
      </w:r>
    </w:p>
    <w:p>
      <w:r>
        <w:rPr>
          <w:b/>
        </w:rPr>
        <w:t>1. 本人在课程设计中的主要贡献</w:t>
      </w:r>
    </w:p>
    <w:p>
      <w:pPr>
        <w:spacing w:line="324" w:lineRule="auto"/>
      </w:pPr>
      <w:r>
        <w:t>负责软件侧与项目流程推进，主要包括：需求分析与 MQTT 主题/消息格式设计；PC 模拟节点与 Web 监控端实现；网络负载与服务器配置成本建模；MQTT 5.0 方案升级与 EMQX 选型；协议开销抓包、容量/吞吐压测、QoS×丢包与跨公网延迟等性能实验；需求-成本计算器；MQTT 与 HTTP 开销对比实验；ESP32 室外长测的服务器侧记录与分析；课程设计报告与答辩 PPT 的撰写制作。同时主导 GitHub 协作流程与项目进度推进。</w:t>
      </w:r>
    </w:p>
    <w:p>
      <w:r>
        <w:rPr>
          <w:b/>
        </w:rPr>
        <w:t>2. 掌握的主要知识和技能</w:t>
      </w:r>
    </w:p>
    <w:p>
      <w:pPr>
        <w:spacing w:line="324" w:lineRule="auto"/>
      </w:pPr>
      <w:r>
        <w:t>MQTT 发布/订阅、主题设计、QoS 与持久会话；TCP 的可靠传输与重传；Wireshark 抓包与协议开销分析；EMQX 部署、压测与系统调优；Flask + SSE 实时 Web；网络负载与服务器容量、成本建模；Git 分支协作与 Issue/PR 评审。</w:t>
      </w:r>
    </w:p>
    <w:p>
      <w:r>
        <w:rPr>
          <w:b/>
        </w:rPr>
        <w:t>3. 遇到的主要问题及解决过程</w:t>
      </w:r>
    </w:p>
    <w:p>
      <w:pPr>
        <w:spacing w:line="324" w:lineRule="auto"/>
      </w:pPr>
      <w:r>
        <w:t>中期反馈要求“需求驱动、考虑成本”，据此建立通用计算模型与需求计算器；内存单一系数估算不准，补满负载爬坡实验改为双模型；QoS 与 TCP 的关系易混淆，用 QoS×丢包实验厘清 QoS 价值在断连；演示 Broker 一致性问题，统一改用本地 EMQX；光照数据异常，经比对定位为硬件端 I2C 接触不良并配合修复。</w:t>
      </w:r>
    </w:p>
    <w:p>
      <w:r>
        <w:rPr>
          <w:b/>
        </w:rPr>
        <w:t>4. 对系统设计的认识</w:t>
      </w:r>
    </w:p>
    <w:p>
      <w:pPr>
        <w:spacing w:line="324" w:lineRule="auto"/>
      </w:pPr>
      <w:r>
        <w:t>好的方案应由需求驱动、用实验量化、求一个有约束的最小成本，而非一味追求最强；软硬件采用同构接口、分层设计，并以完整的“需求—设计—实现—测试—分析”证据链支撑结论。</w:t>
      </w:r>
    </w:p>
    <w:p>
      <w:r>
        <w:rPr>
          <w:b/>
        </w:rPr>
        <w:t>5. 不足与改进方向</w:t>
      </w:r>
    </w:p>
    <w:p>
      <w:pPr>
        <w:spacing w:line="324" w:lineRule="auto"/>
      </w:pPr>
      <w:r>
        <w:t>现场供网稳定性不足、下行带宽随订阅端数放大、缺少数据持久化与告警、Broker 尚未启用认证与加密、硬件可靠性与 OTA 维护等，均为后续可改进的方向。</w:t>
      </w:r>
    </w:p>
    <w:p>
      <w:pPr>
        <w:pStyle w:val="3"/>
      </w:pPr>
      <w:r>
        <w:t>附：测试与提交记录</w:t>
      </w:r>
    </w:p>
    <w:p>
      <w:r>
        <w:rPr>
          <w:b/>
        </w:rPr>
        <w:t>表 1  软件侧性能与协议测试结果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测试项目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测试方法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测试结果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是否通过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功能连通性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双节点并发上传，按 seq 逐条对照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到达率 100%（48/48），重连约 7 s，QoS 1 离线 12 条全部补发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软件链路完整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协议开销（抓包）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Wireshark 抓不同 QoS/格式/Alias/版本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单条 json/json-min/msgpack = 261.9/203.0/185.9 B，Alias 每条省 21.3 B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作为带宽系数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容量压测（EMQX）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连接爬坡至 5 万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 万连接约 1.05 GB（15.75 KB/连），满载 38.76 KB/连（2.46×）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选型按满载上界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吞吐压测（EMQX）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消息吞吐压测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 万条/秒约 3.2 核（约 1.9 万条/核·秒）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对照 amqtt 千级即单核饱和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QoS × 丢包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0–15% 人为丢包测三种 QoS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三种 QoS 到达率均 100%（TCP 重传），延迟随丢包率上升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QoS 价值在断连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跨公网延迟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节点经公网发布、监控端订阅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平均 44.7 ms、到达率 100%、断线重连 5.2 s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满足 ≤ 1 s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实景压测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 万连接、30 分钟、10 路转发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连接零掉线，转发送达 99.96%，CPU 约 1.1 核、内存约 1.5 GB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与计算器预测吻合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MQTT vs HTTP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同一条数据逐字节对比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MQTT 比 HTTP 省 65%~77%，协议头约为其 1/8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支撑协议选型</w:t>
            </w:r>
          </w:p>
        </w:tc>
      </w:tr>
    </w:tbl>
    <w:p>
      <w:pPr>
        <w:spacing w:after="40"/>
      </w:pPr>
    </w:p>
    <w:p>
      <w:r>
        <w:rPr>
          <w:b/>
        </w:rPr>
        <w:t>表 2  关键指标实测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测试指标</w:t>
            </w:r>
          </w:p>
        </w:tc>
        <w:tc>
          <w:tcPr>
            <w:tcW w:type="dxa" w:w="260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测试条件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测试结果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结果分析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消息到达率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 seq 逐条统计实收/应收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功能测试 100%，ESP32 真机 15 h 为 95.0%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网络短时中断计入仍达标（≥ 95%）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平均传输延迟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跨公网 MQTT 发布/订阅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平均 44.7 ms（P95 约 85 ms）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远优于 ≤ 1 s，适合环境监测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断线重连恢复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断网后自动恢复并续传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EMQX 约 5.2 s，节点功能测试约 7 s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满足 ≤ 10 s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单机容量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EMQX 连接爬坡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 万连接约 1 GB 内存，远未触顶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万级场景余量大，可横向扩展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处理吞吐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EMQX 消息压测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 万条/秒约 3.2 核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单节点压力远低于此，瓶颈在带宽/存储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连续运行稳定性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 万连接 30 min + 真机约 15 h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零掉线、形成完整曲线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长时间稳定达标</w:t>
            </w:r>
          </w:p>
        </w:tc>
      </w:tr>
    </w:tbl>
    <w:p>
      <w:pPr>
        <w:spacing w:after="40"/>
      </w:pPr>
    </w:p>
    <w:p>
      <w:r>
        <w:rPr>
          <w:b/>
        </w:rPr>
        <w:t>表 3  提交材料清单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材料名称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是否提交</w:t>
            </w:r>
          </w:p>
        </w:tc>
        <w:tc>
          <w:tcPr>
            <w:tcW w:type="dxa" w:w="385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课程设计报告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docs/project_outputs/课程设计报告/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源代码 / 仿真文件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src/、scripts/、hardware/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汇报 PPT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期末答辩 Beamer 幻灯片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个人日志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本文件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测试数据/抓包文件/截图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captures/、docs/project_outputs/测试证据/</w:t>
            </w:r>
          </w:p>
        </w:tc>
      </w:tr>
    </w:tbl>
    <w:p>
      <w:pPr>
        <w:spacing w:after="40"/>
      </w:pPr>
    </w:p>
    <w:sectPr w:rsidR="00241E5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C18EF" w14:textId="77777777" w:rsidR="00F95C96" w:rsidRDefault="00F95C96" w:rsidP="0035587F">
      <w:r>
        <w:separator/>
      </w:r>
    </w:p>
  </w:endnote>
  <w:endnote w:type="continuationSeparator" w:id="0">
    <w:p w14:paraId="641B25A1" w14:textId="77777777" w:rsidR="00F95C96" w:rsidRDefault="00F95C96" w:rsidP="00355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E4756" w14:textId="77777777" w:rsidR="00F95C96" w:rsidRDefault="00F95C96" w:rsidP="0035587F">
      <w:r>
        <w:separator/>
      </w:r>
    </w:p>
  </w:footnote>
  <w:footnote w:type="continuationSeparator" w:id="0">
    <w:p w14:paraId="07F715AE" w14:textId="77777777" w:rsidR="00F95C96" w:rsidRDefault="00F95C96" w:rsidP="003558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E4679"/>
    <w:multiLevelType w:val="hybridMultilevel"/>
    <w:tmpl w:val="B1E0563A"/>
    <w:lvl w:ilvl="0" w:tplc="532AC354">
      <w:start w:val="1"/>
      <w:numFmt w:val="bullet"/>
      <w:lvlText w:val="●"/>
      <w:lvlJc w:val="left"/>
      <w:pPr>
        <w:ind w:left="720" w:hanging="360"/>
      </w:pPr>
    </w:lvl>
    <w:lvl w:ilvl="1" w:tplc="129AF8E4">
      <w:start w:val="1"/>
      <w:numFmt w:val="bullet"/>
      <w:lvlText w:val="○"/>
      <w:lvlJc w:val="left"/>
      <w:pPr>
        <w:ind w:left="1440" w:hanging="360"/>
      </w:pPr>
    </w:lvl>
    <w:lvl w:ilvl="2" w:tplc="E5D25B9E">
      <w:start w:val="1"/>
      <w:numFmt w:val="bullet"/>
      <w:lvlText w:val="■"/>
      <w:lvlJc w:val="left"/>
      <w:pPr>
        <w:ind w:left="2160" w:hanging="360"/>
      </w:pPr>
    </w:lvl>
    <w:lvl w:ilvl="3" w:tplc="2D9E4E46">
      <w:start w:val="1"/>
      <w:numFmt w:val="bullet"/>
      <w:lvlText w:val="●"/>
      <w:lvlJc w:val="left"/>
      <w:pPr>
        <w:ind w:left="2880" w:hanging="360"/>
      </w:pPr>
    </w:lvl>
    <w:lvl w:ilvl="4" w:tplc="5E684D1C">
      <w:start w:val="1"/>
      <w:numFmt w:val="bullet"/>
      <w:lvlText w:val="○"/>
      <w:lvlJc w:val="left"/>
      <w:pPr>
        <w:ind w:left="3600" w:hanging="360"/>
      </w:pPr>
    </w:lvl>
    <w:lvl w:ilvl="5" w:tplc="8F1CA8B4">
      <w:start w:val="1"/>
      <w:numFmt w:val="bullet"/>
      <w:lvlText w:val="■"/>
      <w:lvlJc w:val="left"/>
      <w:pPr>
        <w:ind w:left="4320" w:hanging="360"/>
      </w:pPr>
    </w:lvl>
    <w:lvl w:ilvl="6" w:tplc="A738AFAE">
      <w:start w:val="1"/>
      <w:numFmt w:val="bullet"/>
      <w:lvlText w:val="●"/>
      <w:lvlJc w:val="left"/>
      <w:pPr>
        <w:ind w:left="5040" w:hanging="360"/>
      </w:pPr>
    </w:lvl>
    <w:lvl w:ilvl="7" w:tplc="50740B46">
      <w:start w:val="1"/>
      <w:numFmt w:val="bullet"/>
      <w:lvlText w:val="●"/>
      <w:lvlJc w:val="left"/>
      <w:pPr>
        <w:ind w:left="5760" w:hanging="360"/>
      </w:pPr>
    </w:lvl>
    <w:lvl w:ilvl="8" w:tplc="C4D6F7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1554C3"/>
    <w:multiLevelType w:val="hybridMultilevel"/>
    <w:tmpl w:val="024C814A"/>
    <w:lvl w:ilvl="0" w:tplc="59EE6B76">
      <w:start w:val="1"/>
      <w:numFmt w:val="bullet"/>
      <w:suff w:val="space"/>
      <w:lvlText w:val="●"/>
      <w:lvlJc w:val="left"/>
      <w:pPr>
        <w:ind w:left="240" w:hanging="180"/>
      </w:pPr>
    </w:lvl>
    <w:lvl w:ilvl="1" w:tplc="FE68A424">
      <w:start w:val="1"/>
      <w:numFmt w:val="bullet"/>
      <w:suff w:val="space"/>
      <w:lvlText w:val="○"/>
      <w:lvlJc w:val="left"/>
      <w:pPr>
        <w:ind w:left="660" w:hanging="180"/>
      </w:pPr>
    </w:lvl>
    <w:lvl w:ilvl="2" w:tplc="68ECA528">
      <w:start w:val="1"/>
      <w:numFmt w:val="bullet"/>
      <w:suff w:val="space"/>
      <w:lvlText w:val="■"/>
      <w:lvlJc w:val="left"/>
      <w:pPr>
        <w:ind w:left="1080" w:hanging="180"/>
      </w:pPr>
    </w:lvl>
    <w:lvl w:ilvl="3" w:tplc="A2D444C6">
      <w:start w:val="1"/>
      <w:numFmt w:val="bullet"/>
      <w:suff w:val="space"/>
      <w:lvlText w:val="●"/>
      <w:lvlJc w:val="left"/>
      <w:pPr>
        <w:ind w:left="1500" w:hanging="180"/>
      </w:pPr>
    </w:lvl>
    <w:lvl w:ilvl="4" w:tplc="AB36C00C">
      <w:start w:val="1"/>
      <w:numFmt w:val="bullet"/>
      <w:suff w:val="space"/>
      <w:lvlText w:val="○"/>
      <w:lvlJc w:val="left"/>
      <w:pPr>
        <w:ind w:left="1920" w:hanging="180"/>
      </w:pPr>
    </w:lvl>
    <w:lvl w:ilvl="5" w:tplc="3A846238">
      <w:start w:val="1"/>
      <w:numFmt w:val="bullet"/>
      <w:suff w:val="space"/>
      <w:lvlText w:val="■"/>
      <w:lvlJc w:val="left"/>
      <w:pPr>
        <w:ind w:left="2340" w:hanging="180"/>
      </w:pPr>
    </w:lvl>
    <w:lvl w:ilvl="6" w:tplc="8C3E93DC">
      <w:start w:val="1"/>
      <w:numFmt w:val="bullet"/>
      <w:suff w:val="space"/>
      <w:lvlText w:val="●"/>
      <w:lvlJc w:val="left"/>
      <w:pPr>
        <w:ind w:left="2760" w:hanging="180"/>
      </w:pPr>
    </w:lvl>
    <w:lvl w:ilvl="7" w:tplc="EC168A3A">
      <w:start w:val="1"/>
      <w:numFmt w:val="bullet"/>
      <w:suff w:val="space"/>
      <w:lvlText w:val="○"/>
      <w:lvlJc w:val="left"/>
      <w:pPr>
        <w:ind w:left="3180" w:hanging="180"/>
      </w:pPr>
    </w:lvl>
    <w:lvl w:ilvl="8" w:tplc="3BAEE0C2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21071440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E52"/>
    <w:rsid w:val="00092C4A"/>
    <w:rsid w:val="000F553E"/>
    <w:rsid w:val="00104278"/>
    <w:rsid w:val="001500EC"/>
    <w:rsid w:val="001630B5"/>
    <w:rsid w:val="0023062C"/>
    <w:rsid w:val="00241E52"/>
    <w:rsid w:val="00250CE2"/>
    <w:rsid w:val="002D1F18"/>
    <w:rsid w:val="0035587F"/>
    <w:rsid w:val="003B3146"/>
    <w:rsid w:val="003D1376"/>
    <w:rsid w:val="004379B4"/>
    <w:rsid w:val="00475DCA"/>
    <w:rsid w:val="004B6F7E"/>
    <w:rsid w:val="004C4447"/>
    <w:rsid w:val="0057218D"/>
    <w:rsid w:val="00623CED"/>
    <w:rsid w:val="0068543D"/>
    <w:rsid w:val="0079565D"/>
    <w:rsid w:val="007B5E3B"/>
    <w:rsid w:val="007C5610"/>
    <w:rsid w:val="00807874"/>
    <w:rsid w:val="008140F0"/>
    <w:rsid w:val="008B2CF0"/>
    <w:rsid w:val="00946DBF"/>
    <w:rsid w:val="00961E50"/>
    <w:rsid w:val="009A766F"/>
    <w:rsid w:val="009F5A1D"/>
    <w:rsid w:val="00A300C6"/>
    <w:rsid w:val="00A95BFF"/>
    <w:rsid w:val="00AF6A3B"/>
    <w:rsid w:val="00B115EA"/>
    <w:rsid w:val="00B274E5"/>
    <w:rsid w:val="00B34D0B"/>
    <w:rsid w:val="00B73FF5"/>
    <w:rsid w:val="00B9625B"/>
    <w:rsid w:val="00BE6A3E"/>
    <w:rsid w:val="00BF1FF6"/>
    <w:rsid w:val="00C443F2"/>
    <w:rsid w:val="00CD7C46"/>
    <w:rsid w:val="00D12F18"/>
    <w:rsid w:val="00DA420E"/>
    <w:rsid w:val="00DB723E"/>
    <w:rsid w:val="00DE600B"/>
    <w:rsid w:val="00DE60D3"/>
    <w:rsid w:val="00E12185"/>
    <w:rsid w:val="00E4220F"/>
    <w:rsid w:val="00E6720A"/>
    <w:rsid w:val="00E71B09"/>
    <w:rsid w:val="00ED6DAD"/>
    <w:rsid w:val="00EF3938"/>
    <w:rsid w:val="00F075E1"/>
    <w:rsid w:val="00F52418"/>
    <w:rsid w:val="00F95C96"/>
    <w:rsid w:val="00FE2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6C98EE"/>
  <w15:docId w15:val="{0BE5E060-4D57-4E0E-A66C-1A08A79B5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qFormat/>
    <w:pPr>
      <w:outlineLvl w:val="4"/>
    </w:pPr>
    <w:rPr>
      <w:b/>
      <w:bCs/>
      <w:color w:val="000000"/>
    </w:rPr>
  </w:style>
  <w:style w:type="paragraph" w:styleId="6">
    <w:name w:val="heading 6"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Strong"/>
    <w:basedOn w:val="a0"/>
    <w:uiPriority w:val="22"/>
    <w:qFormat/>
    <w:rsid w:val="007B5E3B"/>
    <w:rPr>
      <w:b/>
      <w:bCs/>
    </w:rPr>
  </w:style>
  <w:style w:type="paragraph" w:styleId="aa">
    <w:name w:val="header"/>
    <w:basedOn w:val="a"/>
    <w:link w:val="ab"/>
    <w:uiPriority w:val="99"/>
    <w:unhideWhenUsed/>
    <w:rsid w:val="0035587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uiPriority w:val="99"/>
    <w:rsid w:val="0035587F"/>
    <w:rPr>
      <w:sz w:val="18"/>
      <w:szCs w:val="18"/>
    </w:rPr>
  </w:style>
  <w:style w:type="paragraph" w:styleId="ac">
    <w:name w:val="footer"/>
    <w:basedOn w:val="a"/>
    <w:link w:val="ad"/>
    <w:uiPriority w:val="99"/>
    <w:unhideWhenUsed/>
    <w:rsid w:val="0035587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d">
    <w:name w:val="页脚 字符"/>
    <w:basedOn w:val="a0"/>
    <w:link w:val="ac"/>
    <w:uiPriority w:val="99"/>
    <w:rsid w:val="0035587F"/>
    <w:rPr>
      <w:sz w:val="18"/>
      <w:szCs w:val="18"/>
    </w:rPr>
  </w:style>
  <w:style w:type="paragraph" w:styleId="ae">
    <w:name w:val="caption"/>
    <w:basedOn w:val="a"/>
    <w:next w:val="a"/>
    <w:uiPriority w:val="35"/>
    <w:unhideWhenUsed/>
    <w:qFormat/>
    <w:rsid w:val="00807874"/>
    <w:rPr>
      <w:rFonts w:asciiTheme="majorHAnsi" w:eastAsia="黑体" w:hAnsiTheme="majorHAnsi" w:cstheme="majorBidi"/>
      <w:sz w:val="20"/>
      <w:szCs w:val="20"/>
    </w:rPr>
  </w:style>
  <w:style w:type="paragraph" w:styleId="af">
    <w:name w:val="Normal (Web)"/>
    <w:basedOn w:val="a"/>
    <w:uiPriority w:val="99"/>
    <w:semiHidden/>
    <w:unhideWhenUsed/>
    <w:rsid w:val="00BE6A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gi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http://office.chd.edu.cn/images/14/04/04/2ot2sih0a9/2009314214947719.gif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25</Pages>
  <Words>9248</Words>
  <Characters>11098</Characters>
  <Application>Microsoft Office Word</Application>
  <DocSecurity>0</DocSecurity>
  <Lines>528</Lines>
  <Paragraphs>406</Paragraphs>
  <ScaleCrop>false</ScaleCrop>
  <Company/>
  <LinksUpToDate>false</LinksUpToDate>
  <CharactersWithSpaces>19940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博宇 孙</cp:lastModifiedBy>
  <cp:revision>26</cp:revision>
  <dcterms:created xsi:type="dcterms:W3CDTF">2026-06-07T03:17:00Z</dcterms:created>
  <dcterms:modified xsi:type="dcterms:W3CDTF">2026-06-17T10:19:00Z</dcterms:modified>
</cp:coreProperties>
</file>