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60" w:line="300" w:lineRule="auto"/>
        <w:jc w:val="center"/>
      </w:pPr>
      <w:r>
        <w:rPr>
          <w:b/>
          <w:rFonts w:ascii="黑体" w:eastAsia="黑体" w:hAnsi="黑体"/>
          <w:color w:val="1D4ED8"/>
          <w:sz w:val="36"/>
          <w:szCs w:val="36"/>
        </w:rPr>
        <w:t xml:space="preserve">项目总结汇报（初稿）</w:t>
      </w:r>
    </w:p>
    <w:p>
      <w:pPr>
        <w:spacing w:before="0" w:after="80" w:line="300" w:lineRule="auto"/>
        <w:jc w:val="center"/>
      </w:pPr>
      <w:r>
        <w:rPr>
          <w:b/>
          <w:rFonts w:ascii="黑体" w:eastAsia="黑体" w:hAnsi="黑体"/>
          <w:sz w:val="26"/>
          <w:szCs w:val="26"/>
        </w:rPr>
        <w:t xml:space="preserve">Lindoway 智能哑铃 · 上位机（Web 端）部分</w:t>
      </w:r>
    </w:p>
    <w:p>
      <w:pPr>
        <w:spacing w:before="0" w:after="40" w:line="280" w:lineRule="auto"/>
        <w:jc w:val="center"/>
      </w:pPr>
      <w:r>
        <w:rPr>
          <w:color w:val="4B5563"/>
          <w:sz w:val="20"/>
          <w:szCs w:val="20"/>
        </w:rPr>
        <w:t xml:space="preserve">负责部分：纯前端上位机系统（Web Bluetooth 通信、在线计数算法、组分析与报告）</w:t>
      </w:r>
    </w:p>
    <w:p>
      <w:pPr>
        <w:spacing w:before="0" w:after="200" w:line="280" w:lineRule="auto"/>
        <w:jc w:val="center"/>
      </w:pPr>
      <w:r>
        <w:rPr>
          <w:color w:val="4B5563"/>
          <w:sz w:val="20"/>
          <w:szCs w:val="20"/>
        </w:rPr>
        <w:t xml:space="preserve">2026 年第十六届"毕昇杯"全国大学生电子设计新技术应用创新竞赛　│　2026 年 10 月</w:t>
      </w:r>
    </w:p>
    <w:p>
      <w:pPr>
        <w:pStyle w:val="Heading1"/>
      </w:pPr>
      <w:r>
        <w:t xml:space="preserve">一、本稿范围与资料来源</w:t>
      </w:r>
    </w:p>
    <w:p>
      <w:pPr>
        <w:spacing w:before="0" w:after="40" w:line="340" w:lineRule="auto"/>
        <w:ind w:firstLine="420"/>
      </w:pPr>
      <w:r>
        <w:t xml:space="preserve">本稿只覆盖我负责的</w:t>
      </w:r>
      <w:r>
        <w:rPr>
          <w:b/>
        </w:rPr>
        <w:t xml:space="preserve">上位机</w:t>
      </w:r>
      <w:r>
        <w:t xml:space="preserve">部分，即仓库 </w:t>
      </w:r>
      <w:r>
        <w:rPr>
          <w:rFonts w:ascii="Consolas" w:hAnsi="Consolas"/>
          <w:color w:val="9A3412"/>
        </w:rPr>
        <w:t xml:space="preserve">D:\lindoway</w:t>
      </w:r>
      <w:r>
        <w:t xml:space="preserve"> 中的纯前端 Web 应用：蓝牙通信与协议解析、在线计数与代偿判别、组内分析与锻炼报告生成。设备端的电路原理图、固件与结构件由其他成员负责，本稿只在接口层面引用，不展开。</w:t>
      </w:r>
    </w:p>
    <w:p>
      <w:pPr>
        <w:spacing w:before="0" w:after="40" w:line="340" w:lineRule="auto"/>
        <w:ind w:firstLine="420"/>
      </w:pPr>
      <w:r>
        <w:t xml:space="preserve">资料来自两部分：一是《Lindoway 项目设计简介》（申报材料，</w:t>
      </w:r>
      <w:r>
        <w:rPr>
          <w:rFonts w:ascii="Consolas" w:hAnsi="Consolas"/>
          <w:color w:val="9A3412"/>
        </w:rPr>
        <w:t xml:space="preserve">lindoway.html</w:t>
      </w:r>
      <w:r>
        <w:t xml:space="preserve">）；二是仓库现有源码，重点核对 </w:t>
      </w:r>
      <w:r>
        <w:rPr>
          <w:rFonts w:ascii="Consolas" w:hAnsi="Consolas"/>
          <w:color w:val="9A3412"/>
        </w:rPr>
        <w:t xml:space="preserve">src/core/protocol/codec.ts</w:t>
      </w:r>
      <w:r>
        <w:t xml:space="preserve">、</w:t>
      </w:r>
      <w:r>
        <w:rPr>
          <w:rFonts w:ascii="Consolas" w:hAnsi="Consolas"/>
          <w:color w:val="9A3412"/>
        </w:rPr>
        <w:t xml:space="preserve">src/core/ble/*</w:t>
      </w:r>
      <w:r>
        <w:t xml:space="preserve">、</w:t>
      </w:r>
      <w:r>
        <w:rPr>
          <w:rFonts w:ascii="Consolas" w:hAnsi="Consolas"/>
          <w:color w:val="9A3412"/>
        </w:rPr>
        <w:t xml:space="preserve">src/core/analysis/*</w:t>
      </w:r>
      <w:r>
        <w:t xml:space="preserve">、</w:t>
      </w:r>
      <w:r>
        <w:rPr>
          <w:rFonts w:ascii="Consolas" w:hAnsi="Consolas"/>
          <w:color w:val="9A3412"/>
        </w:rPr>
        <w:t xml:space="preserve">src/store/useBleStore.ts</w:t>
      </w:r>
      <w:r>
        <w:t xml:space="preserve"> 与 </w:t>
      </w:r>
      <w:r>
        <w:rPr>
          <w:rFonts w:ascii="Consolas" w:hAnsi="Consolas"/>
          <w:color w:val="9A3412"/>
        </w:rPr>
        <w:t xml:space="preserve">src/pages/*</w:t>
      </w:r>
      <w:r>
        <w:t xml:space="preserve">。凡本文给出具体数值的地方，均可在对应源文件中查到出处；凡属推测或尚未实测的地方，一律标注"待核"。</w:t>
      </w:r>
    </w:p>
    <w:p>
      <w:pPr>
        <w:spacing w:before="0" w:after="40" w:line="340" w:lineRule="auto"/>
        <w:ind w:firstLine="420"/>
      </w:pPr>
      <w:r>
        <w:t xml:space="preserve">先给结论：上位机的功能闭环已经打通——连接、计数、出报告、存历史、数据采集五条链路都能跑通，且在没有真实硬件时可用内置虚拟设备完成全流程演示；</w:t>
      </w:r>
      <w:r>
        <w:rPr>
          <w:b/>
        </w:rPr>
        <w:t xml:space="preserve">当前缺口集中在真机联调数据与答辩素材</w:t>
      </w:r>
      <w:r>
        <w:t xml:space="preserve">，见第十节。</w:t>
      </w:r>
    </w:p>
    <w:p>
      <w:pPr>
        <w:pStyle w:val="Heading1"/>
      </w:pPr>
      <w:r>
        <w:t xml:space="preserve">二、系统定位：三条链路的职责切分</w:t>
      </w:r>
    </w:p>
    <w:p>
      <w:pPr>
        <w:spacing w:before="0" w:after="40" w:line="340" w:lineRule="auto"/>
        <w:ind w:firstLine="420"/>
      </w:pPr>
      <w:r>
        <w:t xml:space="preserve">这个项目容易被误解的地方是"到底谁在算数"。实际上系统被切成三条职责清晰的链路，上位机在其中只承担中间一段：</w:t>
      </w:r>
    </w:p>
    <w:p>
      <w:pPr>
        <w:spacing w:before="0" w:after="40" w:line="340" w:lineRule="auto"/>
        <w:ind w:left="420" w:hanging="210"/>
      </w:pPr>
      <w:r>
        <w:t xml:space="preserve">· </w:t>
      </w:r>
      <w:r>
        <w:rPr>
          <w:b/>
        </w:rPr>
        <w:t xml:space="preserve">设备端（边缘）</w:t>
      </w:r>
      <w:r>
        <w:t xml:space="preserve">：高频采样、姿态解算、动作是否变形的即时判别与就地报警。要求低延迟，因为警示必须在动作发生的那一刻给出。</w:t>
      </w:r>
    </w:p>
    <w:p>
      <w:pPr>
        <w:spacing w:before="0" w:after="40" w:line="340" w:lineRule="auto"/>
        <w:ind w:left="420" w:hanging="210"/>
      </w:pPr>
      <w:r>
        <w:t xml:space="preserve">· </w:t>
      </w:r>
      <w:r>
        <w:rPr>
          <w:b/>
        </w:rPr>
        <w:t xml:space="preserve">上位机（本稿）</w:t>
      </w:r>
      <w:r>
        <w:t xml:space="preserve">：把 50 Hz 的姿态流变成可用的训练事实——数清做了几次、每次质量如何、这一组该怎么评价，并把它变成一份看得懂的报告。</w:t>
      </w:r>
    </w:p>
    <w:p>
      <w:pPr>
        <w:spacing w:before="0" w:after="40" w:line="340" w:lineRule="auto"/>
        <w:ind w:left="420" w:hanging="210"/>
      </w:pPr>
      <w:r>
        <w:t xml:space="preserve">· </w:t>
      </w:r>
      <w:r>
        <w:rPr>
          <w:b/>
        </w:rPr>
        <w:t xml:space="preserve">分析后端（可选）</w:t>
      </w:r>
      <w:r>
        <w:t xml:space="preserve">：逐次动作的五类错误判定与评分、大模型训练建议。它是"增强项"而不是"必需项"，未配置时上位机必须能独立完成计数与报告。</w:t>
      </w:r>
    </w:p>
    <w:p>
      <w:pPr>
        <w:spacing w:before="0" w:after="40" w:line="340" w:lineRule="auto"/>
        <w:ind w:firstLine="420"/>
      </w:pPr>
      <w:r>
        <w:t xml:space="preserve">由此确定三条贯穿全稿的设计取舍，后面所有模块都是为它们服务的：</w:t>
      </w:r>
    </w:p>
    <w:p>
      <w:pPr>
        <w:spacing w:before="0" w:after="40" w:line="340" w:lineRule="auto"/>
        <w:ind w:left="420" w:hanging="210"/>
      </w:pPr>
      <w:r>
        <w:t xml:space="preserve">· </w:t>
      </w:r>
      <w:r>
        <w:rPr>
          <w:b/>
        </w:rPr>
        <w:t xml:space="preserve">启动权在设备端</w:t>
      </w:r>
      <w:r>
        <w:t xml:space="preserve">。用户在器械端用语音关键词或隐私倒计时开始，设备发 </w:t>
      </w:r>
      <w:r>
        <w:rPr>
          <w:rFonts w:ascii="Consolas" w:hAnsi="Consolas"/>
          <w:color w:val="9A3412"/>
        </w:rPr>
        <w:t xml:space="preserve">0x02</w:t>
      </w:r>
      <w:r>
        <w:t xml:space="preserve"> 事件通知上位机；上位机不下发"开始"指令（</w:t>
      </w:r>
      <w:r>
        <w:rPr>
          <w:rFonts w:ascii="Consolas" w:hAnsi="Consolas"/>
          <w:color w:val="9A3412"/>
        </w:rPr>
        <w:t xml:space="preserve">0x82</w:t>
      </w:r>
      <w:r>
        <w:t xml:space="preserve"> 仅保留在调试站）。这样训练者不需要腾出手来点手机，也避免了两端各自计时的不同步。</w:t>
      </w:r>
    </w:p>
    <w:p>
      <w:pPr>
        <w:spacing w:before="0" w:after="40" w:line="340" w:lineRule="auto"/>
        <w:ind w:left="420" w:hanging="210"/>
      </w:pPr>
      <w:r>
        <w:t xml:space="preserve">· </w:t>
      </w:r>
      <w:r>
        <w:rPr>
          <w:b/>
        </w:rPr>
        <w:t xml:space="preserve">原始波形不上行到云端，计数在本地完成</w:t>
      </w:r>
      <w:r>
        <w:t xml:space="preserve">。50 Hz × 7 通道的数据流如果实时回传，信道、功耗和丢包都不可控；上位机只把"每一次重复"的切片留作分析，其余靠本地状态机消化。</w:t>
      </w:r>
    </w:p>
    <w:p>
      <w:pPr>
        <w:spacing w:before="0" w:after="40" w:line="340" w:lineRule="auto"/>
        <w:ind w:left="420" w:hanging="210"/>
      </w:pPr>
      <w:r>
        <w:t xml:space="preserve">· </w:t>
      </w:r>
      <w:r>
        <w:rPr>
          <w:b/>
        </w:rPr>
        <w:t xml:space="preserve">分析可降级</w:t>
      </w:r>
      <w:r>
        <w:t xml:space="preserve">。后端不可达时自动回退到本地规则分析器，阈值与评分公式与后端逐项对齐，报告结构不变，只在结果上标注来源。</w:t>
      </w:r>
    </w:p>
    <w:p>
      <w:pPr>
        <w:keepNext/>
        <w:spacing w:before="160" w:after="60" w:line="260" w:lineRule="auto"/>
        <w:jc w:val="center"/>
      </w:pPr>
      <w:r>
        <w:rPr>
          <w:color w:val="4B5563"/>
          <w:sz w:val="18"/>
          <w:szCs w:val="18"/>
        </w:rPr>
        <w:t xml:space="preserve">表 1　三方职责与接口边界</w:t>
      </w:r>
    </w:p>
    <w:tbl>
      <w:tblPr>
        <w:tblW w:w="907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95"/>
        <w:gridCol w:w="2540"/>
        <w:gridCol w:w="2721"/>
        <w:gridCol w:w="1814"/>
      </w:tblGrid>
      <w:tr>
        <w:trPr>
          <w:cantSplit/>
          <w:tblHeader/>
        </w:trPr>
        <w:tc>
          <w:tcPr>
            <w:tcW w:w="1995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角色</w:t>
            </w:r>
          </w:p>
        </w:tc>
        <w:tc>
          <w:tcPr>
            <w:tcW w:w="2540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输入</w:t>
            </w:r>
          </w:p>
        </w:tc>
        <w:tc>
          <w:tcPr>
            <w:tcW w:w="2721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输出</w:t>
            </w:r>
          </w:p>
        </w:tc>
        <w:tc>
          <w:tcPr>
            <w:tcW w:w="1814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本稿是否负责</w:t>
            </w:r>
          </w:p>
        </w:tc>
      </w:tr>
      <w:tr>
        <w:trPr>
          <w:cantSplit/>
        </w:trPr>
        <w:tc>
          <w:tcPr>
            <w:tcW w:w="1995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设备端 MCU</w:t>
            </w:r>
          </w:p>
        </w:tc>
        <w:tc>
          <w:tcPr>
            <w:tcW w:w="2540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IMU 六轴原始量</w:t>
            </w:r>
          </w:p>
        </w:tc>
        <w:tc>
          <w:tcPr>
            <w:tcW w:w="2721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0x01 姿态帧（50 Hz）、0x02 动作开始、0x80 ACK</w:t>
            </w:r>
          </w:p>
        </w:tc>
        <w:tc>
          <w:tcPr>
            <w:tcW w:w="1814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否（只约定格式）</w:t>
            </w:r>
          </w:p>
        </w:tc>
      </w:tr>
      <w:tr>
        <w:trPr>
          <w:cantSplit/>
        </w:trPr>
        <w:tc>
          <w:tcPr>
            <w:tcW w:w="1995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上位机</w:t>
            </w:r>
          </w:p>
        </w:tc>
        <w:tc>
          <w:tcPr>
            <w:tcW w:w="2540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上述帧 + 用户操作</w:t>
            </w:r>
          </w:p>
        </w:tc>
        <w:tc>
          <w:tcPr>
            <w:tcW w:w="2721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本组报告、历史记录、采集标注数据</w:t>
            </w:r>
          </w:p>
        </w:tc>
        <w:tc>
          <w:tcPr>
            <w:tcW w:w="1814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w="1995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分析后端</w:t>
            </w:r>
          </w:p>
        </w:tc>
        <w:tc>
          <w:tcPr>
            <w:tcW w:w="2540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单次重复的样本序列</w:t>
            </w:r>
          </w:p>
        </w:tc>
        <w:tc>
          <w:tcPr>
            <w:tcW w:w="2721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评分、错误码、信号质量、教练建议</w:t>
            </w:r>
          </w:p>
        </w:tc>
        <w:tc>
          <w:tcPr>
            <w:tcW w:w="1814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否（只对接接口）</w:t>
            </w:r>
          </w:p>
        </w:tc>
      </w:tr>
      <w:tr>
        <w:trPr>
          <w:cantSplit/>
        </w:trPr>
        <w:tc>
          <w:tcPr>
            <w:tcW w:w="1995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浏览器本地存储</w:t>
            </w:r>
          </w:p>
        </w:tc>
        <w:tc>
          <w:tcPr>
            <w:tcW w:w="2540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上位机写入</w:t>
            </w:r>
          </w:p>
        </w:tc>
        <w:tc>
          <w:tcPr>
            <w:tcW w:w="2721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历史成绩、身体数据、自定义动作、BLE 配置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before="0" w:after="80" w:line="200" w:lineRule="auto"/>
      </w:pPr>
    </w:p>
    <w:p>
      <w:pPr>
        <w:pStyle w:val="Heading1"/>
      </w:pPr>
      <w:r>
        <w:t xml:space="preserve">三、系统总体原理</w:t>
      </w:r>
    </w:p>
    <w:p>
      <w:pPr>
        <w:spacing w:before="0" w:after="40" w:line="340" w:lineRule="auto"/>
        <w:ind w:firstLine="420"/>
      </w:pPr>
      <w:r>
        <w:t xml:space="preserve">如图 1，整个系统是"设备端—上位机—服务端"三段式。上位机对下通过 BLE GATT 与设备的 NUS 服务（</w:t>
      </w:r>
      <w:r>
        <w:rPr>
          <w:rFonts w:ascii="Consolas" w:hAnsi="Consolas"/>
          <w:color w:val="9A3412"/>
        </w:rPr>
        <w:t xml:space="preserve">6e400001-…</w:t>
      </w:r>
      <w:r>
        <w:t xml:space="preserve">）通信，读特征收帧、写特征发指令；对上通过 HTTPS/JSON 与可选的 FastAPI 后端通信；自身用 localStorage 承担历史与配置的持久化。</w:t>
      </w:r>
    </w:p>
    <w:p>
      <w:pPr>
        <w:spacing w:before="0" w:after="40" w:line="340" w:lineRule="auto"/>
        <w:ind w:firstLine="420"/>
      </w:pPr>
      <w:r>
        <w:t xml:space="preserve">选择 Web 技术栈有三个现实理由。第一，</w:t>
      </w:r>
      <w:r>
        <w:rPr>
          <w:b/>
        </w:rPr>
        <w:t xml:space="preserve">免安装</w:t>
      </w:r>
      <w:r>
        <w:t xml:space="preserve">：答辩现场用笔记本或安卓手机的浏览器打开即可，不需要安装包、不需要签名、不需要应用商店；第二，</w:t>
      </w:r>
      <w:r>
        <w:rPr>
          <w:b/>
        </w:rPr>
        <w:t xml:space="preserve">Web Bluetooth 是浏览器原生能力</w:t>
      </w:r>
      <w:r>
        <w:t xml:space="preserve">，直接操作 GATT，不需要额外的原生桥接层；第三，桌面与移动端共用一套代码，改一处两端同时生效。代价是浏览器限制——必须是 HTTPS 或 localhost，且目前以安卓 Chrome/Edge 支持最完整，这一点在答辩设备选择上要提前确认。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759450" cy="5119511"/>
            <wp:docPr id="101" name="fig1-architecture"/>
            <a:graphic>
              <a:graphicData uri="http://schemas.openxmlformats.org/drawingml/2006/picture">
                <pic:pic>
                  <pic:nvPicPr>
                    <pic:cNvPr id="101" name="fig1-architectur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11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60" w:lineRule="auto"/>
        <w:jc w:val="center"/>
      </w:pPr>
      <w:r>
        <w:rPr>
          <w:color w:val="4B5563"/>
          <w:sz w:val="18"/>
          <w:szCs w:val="18"/>
        </w:rPr>
        <w:t xml:space="preserve">图 1　上位机系统总体原理图（设备端 — 上位机 — 分析服务）</w:t>
      </w:r>
    </w:p>
    <w:p>
      <w:pPr>
        <w:pStyle w:val="Heading1"/>
      </w:pPr>
      <w:r>
        <w:t xml:space="preserve">四、上位机软件架构</w:t>
      </w:r>
    </w:p>
    <w:p>
      <w:pPr>
        <w:spacing w:before="0" w:after="40" w:line="340" w:lineRule="auto"/>
        <w:ind w:firstLine="420"/>
      </w:pPr>
      <w:r>
        <w:t xml:space="preserve">代码按依赖方向分成五层（图 2）：表现层（React 页面与 3D 视图）、状态层（Zustand store）、领域层（纯函数算法）、协议与传输层（帧编解码与 BLE 抽象）、边界（设备、后端、本地存储）。上层只能依赖下层，这意味着换硬件只改协议层，换算法只改领域层，UI 不需要跟着动。</w:t>
      </w:r>
    </w:p>
    <w:p>
      <w:pPr>
        <w:spacing w:before="0" w:after="40" w:line="340" w:lineRule="auto"/>
        <w:ind w:firstLine="420"/>
      </w:pPr>
      <w:r>
        <w:t xml:space="preserve">几个值得说明的决定：</w:t>
      </w:r>
    </w:p>
    <w:p>
      <w:pPr>
        <w:spacing w:before="0" w:after="40" w:line="340" w:lineRule="auto"/>
        <w:ind w:left="420" w:hanging="210"/>
      </w:pPr>
      <w:r>
        <w:t xml:space="preserve">· </w:t>
      </w:r>
      <w:r>
        <w:rPr>
          <w:b/>
        </w:rPr>
        <w:t xml:space="preserve">传输层做成接口</w:t>
      </w:r>
      <w:r>
        <w:t xml:space="preserve">（</w:t>
      </w:r>
      <w:r>
        <w:rPr>
          <w:rFonts w:ascii="Consolas" w:hAnsi="Consolas"/>
          <w:color w:val="9A3412"/>
        </w:rPr>
        <w:t xml:space="preserve">BLETransport</w:t>
      </w:r>
      <w:r>
        <w:t xml:space="preserve">），真机实现（</w:t>
      </w:r>
      <w:r>
        <w:rPr>
          <w:rFonts w:ascii="Consolas" w:hAnsi="Consolas"/>
          <w:color w:val="9A3412"/>
        </w:rPr>
        <w:t xml:space="preserve">WebBluetoothTransport</w:t>
      </w:r>
      <w:r>
        <w:t xml:space="preserve">）与虚拟设备实现（</w:t>
      </w:r>
      <w:r>
        <w:rPr>
          <w:rFonts w:ascii="Consolas" w:hAnsi="Consolas"/>
          <w:color w:val="9A3412"/>
        </w:rPr>
        <w:t xml:space="preserve">VirtualDeviceTransport</w:t>
      </w:r>
      <w:r>
        <w:t xml:space="preserve">）可互换。虚拟设备按同一套协议模拟 50 Hz 姿态流、ACK 与事件帧，因此在没有硬件、或现场蓝牙故障时，整套演示仍可完整走一遍——这是答辩的兜底方案，也是日常开发不必等硬件的原因。</w:t>
      </w:r>
    </w:p>
    <w:p>
      <w:pPr>
        <w:spacing w:before="0" w:after="40" w:line="340" w:lineRule="auto"/>
        <w:ind w:left="420" w:hanging="210"/>
      </w:pPr>
      <w:r>
        <w:t xml:space="preserve">· </w:t>
      </w:r>
      <w:r>
        <w:rPr>
          <w:b/>
        </w:rPr>
        <w:t xml:space="preserve">50 Hz 的帧不进 React state</w:t>
      </w:r>
      <w:r>
        <w:t xml:space="preserve">。姿态帧只更新 store 里的少量字段并驱动非 React 的计数逻辑，训练页本身不订阅高频数据，避免每 20 ms 触发一次整页重渲染。这是移动端流畅度的关键，也是把"实时视图"和"用户界面"拆成两套页面的原因。</w:t>
      </w:r>
    </w:p>
    <w:p>
      <w:pPr>
        <w:spacing w:before="0" w:after="40" w:line="340" w:lineRule="auto"/>
        <w:ind w:left="420" w:hanging="210"/>
      </w:pPr>
      <w:r>
        <w:t xml:space="preserve">· </w:t>
      </w:r>
      <w:r>
        <w:rPr>
          <w:b/>
        </w:rPr>
        <w:t xml:space="preserve">领域层是纯函数</w:t>
      </w:r>
      <w:r>
        <w:t xml:space="preserve">，不碰 DOM、不碰蓝牙、不碰网络。计数与判别因此可以用脚本离线跑历史数据做回归，不必接硬件、不必开浏览器。本稿中的算法参数就是靠这种方式调出来的。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759450" cy="4927529"/>
            <wp:docPr id="102" name="fig2-layers"/>
            <a:graphic>
              <a:graphicData uri="http://schemas.openxmlformats.org/drawingml/2006/picture">
                <pic:pic>
                  <pic:nvPicPr>
                    <pic:cNvPr id="102" name="fig2-layers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2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60" w:lineRule="auto"/>
        <w:jc w:val="center"/>
      </w:pPr>
      <w:r>
        <w:rPr>
          <w:color w:val="4B5563"/>
          <w:sz w:val="18"/>
          <w:szCs w:val="18"/>
        </w:rPr>
        <w:t xml:space="preserve">图 2　上位机软件分层架构（依赖只允许自上而下）</w:t>
      </w:r>
    </w:p>
    <w:p>
      <w:pPr>
        <w:pStyle w:val="Heading1"/>
      </w:pPr>
      <w:r>
        <w:t xml:space="preserve">五、通信协议实现</w:t>
      </w:r>
    </w:p>
    <w:p>
      <w:pPr>
        <w:spacing w:before="0" w:after="40" w:line="340" w:lineRule="auto"/>
        <w:ind w:firstLine="420"/>
      </w:pPr>
      <w:r>
        <w:t xml:space="preserve">帧格式是定长的：</w:t>
      </w:r>
      <w:r>
        <w:rPr>
          <w:rFonts w:ascii="Consolas" w:hAnsi="Consolas"/>
          <w:color w:val="9A3412"/>
        </w:rPr>
        <w:t xml:space="preserve">AA | Type | Payload | SUM | 55</w:t>
      </w:r>
      <w:r>
        <w:t xml:space="preserve">，多字节字段一律大端，</w:t>
      </w:r>
      <w:r>
        <w:rPr>
          <w:rFonts w:ascii="Consolas" w:hAnsi="Consolas"/>
          <w:color w:val="9A3412"/>
        </w:rPr>
        <w:t xml:space="preserve">SUM</w:t>
      </w:r>
      <w:r>
        <w:t xml:space="preserve"> 为帧头到载荷末尾的累加和取低 8 位。定长 + 双端标记让解析器可以在字节流中随时重新同步，不依赖"包边界"，这对 BLE 通知分包尤其重要。</w:t>
      </w:r>
    </w:p>
    <w:p>
      <w:pPr>
        <w:spacing w:before="0" w:after="40" w:line="340" w:lineRule="auto"/>
        <w:ind w:firstLine="420"/>
      </w:pPr>
      <w:r>
        <w:t xml:space="preserve">解析器（</w:t>
      </w:r>
      <w:r>
        <w:rPr>
          <w:rFonts w:ascii="Consolas" w:hAnsi="Consolas"/>
          <w:color w:val="9A3412"/>
        </w:rPr>
        <w:t xml:space="preserve">FrameParser</w:t>
      </w:r>
      <w:r>
        <w:t xml:space="preserve">）按流式处理：在缓冲区里找帧头 </w:t>
      </w:r>
      <w:r>
        <w:rPr>
          <w:rFonts w:ascii="Consolas" w:hAnsi="Consolas"/>
          <w:color w:val="9A3412"/>
        </w:rPr>
        <w:t xml:space="preserve">0xAA</w:t>
      </w:r>
      <w:r>
        <w:t xml:space="preserve">，按类型查表得到载荷长度，长度不够就等下一批字节；未知类型只跳过 1 字节继续找头；校验和或帧尾不符则丢弃该候选帧。这样即使中途丢了整帧、或收到 WiFi 干扰造成的假帧头，也能在几帧之内自愈，不会把连接卡死。</w:t>
      </w:r>
    </w:p>
    <w:p>
      <w:pPr>
        <w:spacing w:before="0" w:after="40" w:line="340" w:lineRule="auto"/>
        <w:ind w:firstLine="420"/>
      </w:pPr>
      <w:r>
        <w:t xml:space="preserve">字段一律用</w:t>
      </w:r>
      <w:r>
        <w:rPr>
          <w:b/>
        </w:rPr>
        <w:t xml:space="preserve">定点整数</w:t>
      </w:r>
      <w:r>
        <w:t xml:space="preserve">而不是浮点：角度 i16 缩放 100（分辨率 0.01°，量程 ±327°），角速度 i16 缩放 10（0.1 °/s，量程 ±3276 °/s），加速度 i16 缩放 1000（0.001 g）。三点好处：载荷定长，解析不需要分隔符；跨语言跨平台逐位一致，不会出现前后端对同一帧解释不同；累加校验对整数天然稳定，也不会因 NaN 把校验带偏。</w:t>
      </w:r>
    </w:p>
    <w:p>
      <w:pPr>
        <w:spacing w:before="0" w:after="40" w:line="340" w:lineRule="auto"/>
        <w:ind w:firstLine="420"/>
      </w:pPr>
      <w:r>
        <w:t xml:space="preserve">固件版本不同时也不用改代码：服务与读写的 UUID 都放在网页端的配置项里（默认 NUS 三段），旧固件的 </w:t>
      </w:r>
      <w:r>
        <w:rPr>
          <w:rFonts w:ascii="Consolas" w:hAnsi="Consolas"/>
          <w:color w:val="9A3412"/>
        </w:rPr>
        <w:t xml:space="preserve">0xFFE0/0xFFE1</w:t>
      </w:r>
      <w:r>
        <w:t xml:space="preserve"> 短 UUID 会被自动补全成 128 位标准格式再用于匹配。这一步看起来多余，实测却省掉了每次换模块都要重新编译前端的时间。</w:t>
      </w:r>
    </w:p>
    <w:p>
      <w:pPr>
        <w:keepNext/>
        <w:spacing w:before="160" w:after="60" w:line="260" w:lineRule="auto"/>
        <w:jc w:val="center"/>
      </w:pPr>
      <w:r>
        <w:rPr>
          <w:color w:val="4B5563"/>
          <w:sz w:val="18"/>
          <w:szCs w:val="18"/>
        </w:rPr>
        <w:t xml:space="preserve">表 2　帧类型与主要字段</w:t>
      </w:r>
    </w:p>
    <w:tbl>
      <w:tblPr>
        <w:tblW w:w="907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98"/>
        <w:gridCol w:w="1361"/>
        <w:gridCol w:w="816"/>
        <w:gridCol w:w="816"/>
        <w:gridCol w:w="5079"/>
      </w:tblGrid>
      <w:tr>
        <w:trPr>
          <w:cantSplit/>
          <w:tblHeader/>
        </w:trPr>
        <w:tc>
          <w:tcPr>
            <w:tcW w:w="998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类型</w:t>
            </w:r>
          </w:p>
        </w:tc>
        <w:tc>
          <w:tcPr>
            <w:tcW w:w="1361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方向</w:t>
            </w:r>
          </w:p>
        </w:tc>
        <w:tc>
          <w:tcPr>
            <w:tcW w:w="816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载荷</w:t>
            </w:r>
          </w:p>
        </w:tc>
        <w:tc>
          <w:tcPr>
            <w:tcW w:w="816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帧长</w:t>
            </w:r>
          </w:p>
        </w:tc>
        <w:tc>
          <w:tcPr>
            <w:tcW w:w="5079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用途与字段</w:t>
            </w:r>
          </w:p>
        </w:tc>
      </w:tr>
      <w:tr>
        <w:trPr>
          <w:cantSplit/>
        </w:trPr>
        <w:tc>
          <w:tcPr>
            <w:tcW w:w="998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0x01</w:t>
            </w:r>
          </w:p>
        </w:tc>
        <w:tc>
          <w:tcPr>
            <w:tcW w:w="1361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设备→上位机</w:t>
            </w:r>
          </w:p>
        </w:tc>
        <w:tc>
          <w:tcPr>
            <w:tcW w:w="816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22 B</w:t>
            </w:r>
          </w:p>
        </w:tc>
        <w:tc>
          <w:tcPr>
            <w:tcW w:w="816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26 B</w:t>
            </w:r>
          </w:p>
        </w:tc>
        <w:tc>
          <w:tcPr>
            <w:tcW w:w="507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姿态帧，50 Hz。时间戳 u32；roll/pitch/yaw 为 i16×100；加速度 i16×1000（g）；角速度 i16×10（°/s）</w:t>
            </w:r>
          </w:p>
        </w:tc>
      </w:tr>
      <w:tr>
        <w:trPr>
          <w:cantSplit/>
        </w:trPr>
        <w:tc>
          <w:tcPr>
            <w:tcW w:w="998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0x02</w:t>
            </w:r>
          </w:p>
        </w:tc>
        <w:tc>
          <w:tcPr>
            <w:tcW w:w="1361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设备→上位机</w:t>
            </w:r>
          </w:p>
        </w:tc>
        <w:tc>
          <w:tcPr>
            <w:tcW w:w="816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3 B</w:t>
            </w:r>
          </w:p>
        </w:tc>
        <w:tc>
          <w:tcPr>
            <w:tcW w:w="816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7 B</w:t>
            </w:r>
          </w:p>
        </w:tc>
        <w:tc>
          <w:tcPr>
            <w:tcW w:w="507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动作开始事件：actionId、启动方式（1 语音 / 2 倒计时）、本组目标次数</w:t>
            </w:r>
          </w:p>
        </w:tc>
      </w:tr>
      <w:tr>
        <w:trPr>
          <w:cantSplit/>
        </w:trPr>
        <w:tc>
          <w:tcPr>
            <w:tcW w:w="998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0x80</w:t>
            </w:r>
          </w:p>
        </w:tc>
        <w:tc>
          <w:tcPr>
            <w:tcW w:w="1361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设备→上位机</w:t>
            </w:r>
          </w:p>
        </w:tc>
        <w:tc>
          <w:tcPr>
            <w:tcW w:w="816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 B</w:t>
            </w:r>
          </w:p>
        </w:tc>
        <w:tc>
          <w:tcPr>
            <w:tcW w:w="816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5 B</w:t>
            </w:r>
          </w:p>
        </w:tc>
        <w:tc>
          <w:tcPr>
            <w:tcW w:w="507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ACK，回显动作编号</w:t>
            </w:r>
          </w:p>
        </w:tc>
      </w:tr>
      <w:tr>
        <w:trPr>
          <w:cantSplit/>
        </w:trPr>
        <w:tc>
          <w:tcPr>
            <w:tcW w:w="998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0x82</w:t>
            </w:r>
          </w:p>
        </w:tc>
        <w:tc>
          <w:tcPr>
            <w:tcW w:w="1361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上位机→设备</w:t>
            </w:r>
          </w:p>
        </w:tc>
        <w:tc>
          <w:tcPr>
            <w:tcW w:w="816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19 B</w:t>
            </w:r>
          </w:p>
        </w:tc>
        <w:tc>
          <w:tcPr>
            <w:tcW w:w="816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23 B</w:t>
            </w:r>
          </w:p>
        </w:tc>
        <w:tc>
          <w:tcPr>
            <w:tcW w:w="507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标准动作目标姿态（调试用途，正式流程不再下发）</w:t>
            </w:r>
          </w:p>
        </w:tc>
      </w:tr>
      <w:tr>
        <w:trPr>
          <w:cantSplit/>
        </w:trPr>
        <w:tc>
          <w:tcPr>
            <w:tcW w:w="998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0x83</w:t>
            </w:r>
          </w:p>
        </w:tc>
        <w:tc>
          <w:tcPr>
            <w:tcW w:w="1361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上位机→设备</w:t>
            </w:r>
          </w:p>
        </w:tc>
        <w:tc>
          <w:tcPr>
            <w:tcW w:w="816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0 B</w:t>
            </w:r>
          </w:p>
        </w:tc>
        <w:tc>
          <w:tcPr>
            <w:tcW w:w="816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4 B</w:t>
            </w:r>
          </w:p>
        </w:tc>
        <w:tc>
          <w:tcPr>
            <w:tcW w:w="507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停止采集；达标、手动结束、连接断开时下发</w:t>
            </w:r>
          </w:p>
        </w:tc>
      </w:tr>
    </w:tbl>
    <w:p>
      <w:pPr>
        <w:spacing w:before="0" w:after="80" w:line="200" w:lineRule="auto"/>
      </w:pPr>
    </w:p>
    <w:p>
      <w:pPr>
        <w:pStyle w:val="Heading1"/>
      </w:pPr>
      <w:r>
        <w:t xml:space="preserve">六、主程序流程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759450" cy="4415578"/>
            <wp:docPr id="103" name="fig3-main-flow"/>
            <a:graphic>
              <a:graphicData uri="http://schemas.openxmlformats.org/drawingml/2006/picture">
                <pic:pic>
                  <pic:nvPicPr>
                    <pic:cNvPr id="103" name="fig3-main-flow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1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60" w:lineRule="auto"/>
        <w:jc w:val="center"/>
      </w:pPr>
      <w:r>
        <w:rPr>
          <w:color w:val="4B5563"/>
          <w:sz w:val="18"/>
          <w:szCs w:val="18"/>
        </w:rPr>
        <w:t xml:space="preserve">图 3　上位机主程序流程图</w:t>
      </w:r>
    </w:p>
    <w:p>
      <w:pPr>
        <w:spacing w:before="0" w:after="40" w:line="340" w:lineRule="auto"/>
        <w:ind w:firstLine="420"/>
      </w:pPr>
      <w:r>
        <w:t xml:space="preserve">主流程见图 3，分三段：连接、采集、出报告。</w:t>
      </w:r>
    </w:p>
    <w:p>
      <w:pPr>
        <w:spacing w:before="0" w:after="40" w:line="340" w:lineRule="auto"/>
        <w:ind w:firstLine="420"/>
      </w:pPr>
      <w:r>
        <w:rPr>
          <w:b/>
        </w:rPr>
        <w:t xml:space="preserve">连接段</w:t>
      </w:r>
      <w:r>
        <w:t xml:space="preserve">的工程处理比协议本身更费事。安卓上 </w:t>
      </w:r>
      <w:r>
        <w:rPr>
          <w:rFonts w:ascii="Consolas" w:hAnsi="Consolas"/>
          <w:color w:val="9A3412"/>
        </w:rPr>
        <w:t xml:space="preserve">gatt.connect()</w:t>
      </w:r>
      <w:r>
        <w:t xml:space="preserve"> 偶发失败，因此实现里带一次 600 ms 后的自动重试；连接过程被拆成"选择设备 / GATT / 查找服务 / 查找特征 / 启动通知"几个具名步骤，失败时直接把卡在哪一步写进错误提示，并把设备实际提供的服务 UUID 列出来——否则现场只能看到一句"连接失败"，排查成本极高。</w:t>
      </w:r>
    </w:p>
    <w:p>
      <w:pPr>
        <w:spacing w:before="0" w:after="40" w:line="340" w:lineRule="auto"/>
        <w:ind w:firstLine="420"/>
      </w:pPr>
      <w:r>
        <w:rPr>
          <w:b/>
        </w:rPr>
        <w:t xml:space="preserve">采集段</w:t>
      </w:r>
      <w:r>
        <w:t xml:space="preserve">每收到一帧姿态数据，先经协议层解帧校验，再写入长度上限 1000 点的采样环，同时喂给计数器。计次成功时，按该次重复的起止时间戳从采样环里切出对应样本，形成一条 </w:t>
      </w:r>
      <w:r>
        <w:rPr>
          <w:rFonts w:ascii="Consolas" w:hAnsi="Consolas"/>
          <w:color w:val="9A3412"/>
        </w:rPr>
        <w:t xml:space="preserve">RepRecord</w:t>
      </w:r>
      <w:r>
        <w:t xml:space="preserve">（本组最多保留 200 条）。当累计次数达到设备下发的目标次数时，自动下发 </w:t>
      </w:r>
      <w:r>
        <w:rPr>
          <w:rFonts w:ascii="Consolas" w:hAnsi="Consolas"/>
          <w:color w:val="9A3412"/>
        </w:rPr>
        <w:t xml:space="preserve">0x83</w:t>
      </w:r>
      <w:r>
        <w:t xml:space="preserve"> 停止采集，并把"是否正在录制"一并收尾。</w:t>
      </w:r>
    </w:p>
    <w:p>
      <w:pPr>
        <w:spacing w:before="0" w:after="40" w:line="340" w:lineRule="auto"/>
        <w:ind w:firstLine="420"/>
      </w:pPr>
      <w:r>
        <w:rPr>
          <w:b/>
        </w:rPr>
        <w:t xml:space="preserve">出报告段</w:t>
      </w:r>
      <w:r>
        <w:t xml:space="preserve">在结束本组时触发，不依赖用户去报告页手动点。这里有个容易漏掉的分支：如果用户在最后一次动作的回落途中就结束本组，那次动作还没走到"计次"就被截断——实现里在停止前先 </w:t>
      </w:r>
      <w:r>
        <w:rPr>
          <w:rFonts w:ascii="Consolas" w:hAnsi="Consolas"/>
          <w:color w:val="9A3412"/>
        </w:rPr>
        <w:t xml:space="preserve">flush()</w:t>
      </w:r>
      <w:r>
        <w:t xml:space="preserve"> 结算半途中的一次，避免"最后一次凭空消失"。连接意外断开同样走这条路径，先把本组结算完再断开，不让这一组数据白丢。</w:t>
      </w:r>
    </w:p>
    <w:p>
      <w:pPr>
        <w:pStyle w:val="Heading1"/>
      </w:pPr>
      <w:r>
        <w:t xml:space="preserve">七、计数与代偿判别算法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759450" cy="4095609"/>
            <wp:docPr id="104" name="fig4-algorithm"/>
            <a:graphic>
              <a:graphicData uri="http://schemas.openxmlformats.org/drawingml/2006/picture">
                <pic:pic>
                  <pic:nvPicPr>
                    <pic:cNvPr id="104" name="fig4-algorithm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9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60" w:lineRule="auto"/>
        <w:jc w:val="center"/>
      </w:pPr>
      <w:r>
        <w:rPr>
          <w:color w:val="4B5563"/>
          <w:sz w:val="18"/>
          <w:szCs w:val="18"/>
        </w:rPr>
        <w:t xml:space="preserve">图 4　在线计数与代偿判别算法流程图</w:t>
      </w:r>
    </w:p>
    <w:p>
      <w:pPr>
        <w:spacing w:before="0" w:after="40" w:line="340" w:lineRule="auto"/>
        <w:ind w:firstLine="420"/>
      </w:pPr>
      <w:r>
        <w:t xml:space="preserve">这一节是上位机里真正有技术含量的部分。最初的做法是"录完一段再切段数数"（离线切段），实测把它当实时计数器用会出三个结构性问题：一是数字会跳变（整段重算导致已计次数回退）；二是系统性漏数（过近的两次动作被合并）；三是轻轻晃动也会加数（切段只有角速度一道门限，没有幅度判断）。因此计数器被重写为在线状态机，只依赖已经发生的样本，计数单调不回退。</w:t>
      </w:r>
    </w:p>
    <w:p>
      <w:pPr>
        <w:spacing w:before="0" w:after="40" w:line="340" w:lineRule="auto"/>
        <w:ind w:firstLine="420"/>
      </w:pPr>
      <w:r>
        <w:rPr>
          <w:b/>
        </w:rPr>
        <w:t xml:space="preserve">计数标量</w:t>
      </w:r>
      <w:r>
        <w:t xml:space="preserve">。用互补滤波跟踪设备坐标系下的重力方向 ĝ（陀螺仪管短期、加速度计管长期），维护一个"静止参考" ĝ_ref，计数标量取二者夹角 d。实测单次侧平举 d 约 69~79°，而单轴陀螺仪积分只有 30~36°——直接积分会低估一半以上，主轴还会跳。参考方向只在明显静止时缓慢跟随，肢体一旦离开静止就冻结，否则慢速动作时参考会跟着一起走，姿态改变量永远长不起来。</w:t>
      </w:r>
    </w:p>
    <w:p>
      <w:pPr>
        <w:spacing w:before="0" w:after="40" w:line="340" w:lineRule="auto"/>
        <w:ind w:firstLine="420"/>
      </w:pPr>
      <w:r>
        <w:rPr>
          <w:b/>
        </w:rPr>
        <w:t xml:space="preserve">边界判定</w:t>
      </w:r>
      <w:r>
        <w:t xml:space="preserve">。一次重复 = 从谷底升到峰值、再回落到峰谷差的一定比例以下；阈值全部相对本组实际幅度，所以连续做、不完整放回也能数，轻轻晃动则因为峰谷差永远到不了下限而一次都不计。更强的做法是利用"停顿"这一离散事件：现场确认坐姿推举在顶端和底端各有 0.4~0.6 s 停顿，于是把边界锚在停顿上——底停顿 → 上举 → 顶停顿 → 下放 → 底停顿，在第二个底停顿时计一次。停顿比"回落到 45%"这种连续量稳定得多，也顺手根治了"下放半程被算成第二次"。</w:t>
      </w:r>
    </w:p>
    <w:p>
      <w:pPr>
        <w:spacing w:before="0" w:after="40" w:line="340" w:lineRule="auto"/>
        <w:ind w:firstLine="420"/>
      </w:pPr>
      <w:r>
        <w:rPr>
          <w:b/>
        </w:rPr>
        <w:t xml:space="preserve">第二判据</w:t>
      </w:r>
      <w:r>
        <w:t xml:space="preserve">。非标准动作常常幅度不达标、但波形形状仍与标准动作高度相似。计数器因此保留一条模板相关通道：把本次三轴波形归一化后与标准模板求相关系数，任一轴超过 0.6 也算一次。取三轴最大、并取绝对值，是为了容忍左右手佩戴造成的轴向相反。这样"幅度门限没过但动作确实做了"的样本不会被误杀。</w:t>
      </w:r>
    </w:p>
    <w:p>
      <w:pPr>
        <w:spacing w:before="0" w:after="40" w:line="340" w:lineRule="auto"/>
        <w:ind w:firstLine="420"/>
      </w:pPr>
      <w:r>
        <w:rPr>
          <w:b/>
        </w:rPr>
        <w:t xml:space="preserve">自适应门限</w:t>
      </w:r>
      <w:r>
        <w:t xml:space="preserve">。不同人的静息抖动差别很大：手稳的人静息 5°/s，手抖的人能到 15°/s，而"轻轻晃动"和"小幅度动作"在绝对角速度上完全重叠（实测都在 28°/s 上下），一个全局常数不可能同时滤掉晃动和数出小动作。实现改为用最近 5 s 窗口的 20 分位估计静息水平，门限取其 3 倍并钳位在 30~80°/s——只允许上调、不允许下调，因为下调会让晃动被数成动作。</w:t>
      </w:r>
    </w:p>
    <w:p>
      <w:pPr>
        <w:keepNext/>
        <w:spacing w:before="160" w:after="60" w:line="260" w:lineRule="auto"/>
        <w:jc w:val="center"/>
      </w:pPr>
      <w:r>
        <w:rPr>
          <w:color w:val="4B5563"/>
          <w:sz w:val="18"/>
          <w:szCs w:val="18"/>
        </w:rPr>
        <w:t xml:space="preserve">表 3　计数关键参数（取自 DEFAULT_REP_OPTIONS）</w:t>
      </w:r>
    </w:p>
    <w:tbl>
      <w:tblPr>
        <w:tblW w:w="907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721"/>
        <w:gridCol w:w="1633"/>
        <w:gridCol w:w="4716"/>
      </w:tblGrid>
      <w:tr>
        <w:trPr>
          <w:cantSplit/>
          <w:tblHeader/>
        </w:trPr>
        <w:tc>
          <w:tcPr>
            <w:tcW w:w="2721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参数</w:t>
            </w:r>
          </w:p>
        </w:tc>
        <w:tc>
          <w:tcPr>
            <w:tcW w:w="1633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取值</w:t>
            </w:r>
          </w:p>
        </w:tc>
        <w:tc>
          <w:tcPr>
            <w:tcW w:w="4716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作用</w:t>
            </w:r>
          </w:p>
        </w:tc>
      </w:tr>
      <w:tr>
        <w:trPr>
          <w:cantSplit/>
        </w:trPr>
        <w:tc>
          <w:tcPr>
            <w:tcW w:w="2721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signal</w:t>
            </w:r>
          </w:p>
        </w:tc>
        <w:tc>
          <w:tcPr>
            <w:tcW w:w="1633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gyro</w:t>
            </w:r>
          </w:p>
        </w:tc>
        <w:tc>
          <w:tcPr>
            <w:tcW w:w="4716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计数标量用平滑角速度模长；gravity 适合整肢在垂直面翻转的动作</w:t>
            </w:r>
          </w:p>
        </w:tc>
      </w:tr>
      <w:tr>
        <w:trPr>
          <w:cantSplit/>
        </w:trPr>
        <w:tc>
          <w:tcPr>
            <w:tcW w:w="2721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omegaTauMs</w:t>
            </w:r>
          </w:p>
        </w:tc>
        <w:tc>
          <w:tcPr>
            <w:tcW w:w="1633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250 ms</w:t>
            </w:r>
          </w:p>
        </w:tc>
        <w:tc>
          <w:tcPr>
            <w:tcW w:w="4716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角速度低通，抑制顶点处角速度回落被误判为一次结束</w:t>
            </w:r>
          </w:p>
        </w:tc>
      </w:tr>
      <w:tr>
        <w:trPr>
          <w:cantSplit/>
        </w:trPr>
        <w:tc>
          <w:tcPr>
            <w:tcW w:w="2721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armOmegaDps</w:t>
            </w:r>
          </w:p>
        </w:tc>
        <w:tc>
          <w:tcPr>
            <w:tcW w:w="1633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12 °/s</w:t>
            </w:r>
          </w:p>
        </w:tc>
        <w:tc>
          <w:tcPr>
            <w:tcW w:w="4716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候选武装门限，用原始值而非平滑值，避免短促爆发被削掉</w:t>
            </w:r>
          </w:p>
        </w:tc>
      </w:tr>
      <w:tr>
        <w:trPr>
          <w:cantSplit/>
        </w:trPr>
        <w:tc>
          <w:tcPr>
            <w:tcW w:w="2721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omegaGateFloor / Max</w:t>
            </w:r>
          </w:p>
        </w:tc>
        <w:tc>
          <w:tcPr>
            <w:tcW w:w="1633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30 / 80 °/s</w:t>
            </w:r>
          </w:p>
        </w:tc>
        <w:tc>
          <w:tcPr>
            <w:tcW w:w="4716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自适应门限的钳位区间，只允许上调应对手抖</w:t>
            </w:r>
          </w:p>
        </w:tc>
      </w:tr>
      <w:tr>
        <w:trPr>
          <w:cantSplit/>
        </w:trPr>
        <w:tc>
          <w:tcPr>
            <w:tcW w:w="2721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fallFrac / fallHoldMs</w:t>
            </w:r>
          </w:p>
        </w:tc>
        <w:tc>
          <w:tcPr>
            <w:tcW w:w="1633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0.45 / 260 ms</w:t>
            </w:r>
          </w:p>
        </w:tc>
        <w:tc>
          <w:tcPr>
            <w:tcW w:w="4716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回落判据的深度与持续时间（未观察到停顿时生效）</w:t>
            </w:r>
          </w:p>
        </w:tc>
      </w:tr>
      <w:tr>
        <w:trPr>
          <w:cantSplit/>
        </w:trPr>
        <w:tc>
          <w:tcPr>
            <w:tcW w:w="2721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fallTiltRatio / fallTravelRatio</w:t>
            </w:r>
          </w:p>
        </w:tc>
        <w:tc>
          <w:tcPr>
            <w:tcW w:w="1633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0.45 / 0.45</w:t>
            </w:r>
          </w:p>
        </w:tc>
        <w:tc>
          <w:tcPr>
            <w:tcW w:w="4716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回落时姿态与竖直位移也要真的下来，区分"顶点停顿"与"底部休息"</w:t>
            </w:r>
          </w:p>
        </w:tc>
      </w:tr>
      <w:tr>
        <w:trPr>
          <w:cantSplit/>
        </w:trPr>
        <w:tc>
          <w:tcPr>
            <w:tcW w:w="2721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minRepMs / maxRepMs</w:t>
            </w:r>
          </w:p>
        </w:tc>
        <w:tc>
          <w:tcPr>
            <w:tcW w:w="1633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700 / 15000 ms</w:t>
            </w:r>
          </w:p>
        </w:tc>
        <w:tc>
          <w:tcPr>
            <w:tcW w:w="4716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单次时长合法区间，过短过长都丢弃</w:t>
            </w:r>
          </w:p>
        </w:tc>
      </w:tr>
      <w:tr>
        <w:trPr>
          <w:cantSplit/>
        </w:trPr>
        <w:tc>
          <w:tcPr>
            <w:tcW w:w="2721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pauseMinMs</w:t>
            </w:r>
          </w:p>
        </w:tc>
        <w:tc>
          <w:tcPr>
            <w:tcW w:w="1633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400 ms</w:t>
            </w:r>
          </w:p>
        </w:tc>
        <w:tc>
          <w:tcPr>
            <w:tcW w:w="4716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连续静止多久算"真停顿"，停顿判据据此启用</w:t>
            </w:r>
          </w:p>
        </w:tc>
      </w:tr>
      <w:tr>
        <w:trPr>
          <w:cantSplit/>
        </w:trPr>
        <w:tc>
          <w:tcPr>
            <w:tcW w:w="2721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twistRatioLimit</w:t>
            </w:r>
          </w:p>
        </w:tc>
        <w:tc>
          <w:tcPr>
            <w:tcW w:w="1633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0.25</w:t>
            </w:r>
          </w:p>
        </w:tc>
        <w:tc>
          <w:tcPr>
            <w:tcW w:w="4716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绕重力轴扭转占转动路径的比例，超过判为腕部翻转代偿</w:t>
            </w:r>
          </w:p>
        </w:tc>
      </w:tr>
      <w:tr>
        <w:trPr>
          <w:cantSplit/>
        </w:trPr>
        <w:tc>
          <w:tcPr>
            <w:tcW w:w="2721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templateMinCorr</w:t>
            </w:r>
          </w:p>
        </w:tc>
        <w:tc>
          <w:tcPr>
            <w:tcW w:w="1633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0.6</w:t>
            </w:r>
          </w:p>
        </w:tc>
        <w:tc>
          <w:tcPr>
            <w:tcW w:w="4716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模板形状相关门限，作为幅度门限之外的第二判据</w:t>
            </w:r>
          </w:p>
        </w:tc>
      </w:tr>
    </w:tbl>
    <w:p>
      <w:pPr>
        <w:spacing w:before="0" w:after="80" w:line="200" w:lineRule="auto"/>
      </w:pPr>
    </w:p>
    <w:p>
      <w:pPr>
        <w:pStyle w:val="Heading1"/>
      </w:pPr>
      <w:r>
        <w:t xml:space="preserve">八、组内分析与报告生成</w:t>
      </w:r>
    </w:p>
    <w:p>
      <w:pPr>
        <w:spacing w:before="0" w:after="40" w:line="340" w:lineRule="auto"/>
        <w:ind w:firstLine="420"/>
      </w:pPr>
      <w:r>
        <w:t xml:space="preserve">一组结束后，上位机把这一组里每一次重复的样本切片逐条送去分析，再汇总成 </w:t>
      </w:r>
      <w:r>
        <w:rPr>
          <w:rFonts w:ascii="Consolas" w:hAnsi="Consolas"/>
          <w:color w:val="9A3412"/>
        </w:rPr>
        <w:t xml:space="preserve">SetAnalysis</w:t>
      </w:r>
      <w:r>
        <w:t xml:space="preserve">：可用次数、平均总分、四项子分（活动范围、节奏、稳定性、一致性）、五类错误码的计数与严重度、信号质量问题清单，以及是否存在高风险。</w:t>
      </w:r>
    </w:p>
    <w:p>
      <w:pPr>
        <w:keepNext/>
        <w:spacing w:before="160" w:after="60" w:line="260" w:lineRule="auto"/>
        <w:jc w:val="center"/>
      </w:pPr>
      <w:r>
        <w:rPr>
          <w:color w:val="4B5563"/>
          <w:sz w:val="18"/>
          <w:szCs w:val="18"/>
        </w:rPr>
        <w:t xml:space="preserve">表 4　五类错误码与判定条件（与后端 rule_based.py 对齐）</w:t>
      </w:r>
    </w:p>
    <w:tbl>
      <w:tblPr>
        <w:tblW w:w="907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49"/>
        <w:gridCol w:w="1814"/>
        <w:gridCol w:w="998"/>
        <w:gridCol w:w="3809"/>
      </w:tblGrid>
      <w:tr>
        <w:trPr>
          <w:cantSplit/>
          <w:tblHeader/>
        </w:trPr>
        <w:tc>
          <w:tcPr>
            <w:tcW w:w="2449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错误码</w:t>
            </w:r>
          </w:p>
        </w:tc>
        <w:tc>
          <w:tcPr>
            <w:tcW w:w="1814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含义</w:t>
            </w:r>
          </w:p>
        </w:tc>
        <w:tc>
          <w:tcPr>
            <w:tcW w:w="998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严重度</w:t>
            </w:r>
          </w:p>
        </w:tc>
        <w:tc>
          <w:tcPr>
            <w:tcW w:w="3809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触发条件（摘要）</w:t>
            </w:r>
          </w:p>
        </w:tc>
      </w:tr>
      <w:tr>
        <w:trPr>
          <w:cantSplit/>
        </w:trPr>
        <w:tc>
          <w:tcPr>
            <w:tcW w:w="244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INSUFFICIENT_RANGE</w:t>
            </w:r>
          </w:p>
        </w:tc>
        <w:tc>
          <w:tcPr>
            <w:tcW w:w="1814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活动范围不足</w:t>
            </w:r>
          </w:p>
        </w:tc>
        <w:tc>
          <w:tcPr>
            <w:tcW w:w="998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w="380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主轴峰值角速度低于该动作的 min_peak（推举 38、侧平举 34 °/s）</w:t>
            </w:r>
          </w:p>
        </w:tc>
      </w:tr>
      <w:tr>
        <w:trPr>
          <w:cantSplit/>
        </w:trPr>
        <w:tc>
          <w:tcPr>
            <w:tcW w:w="244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TEMPO_TOO_FAST</w:t>
            </w:r>
          </w:p>
        </w:tc>
        <w:tc>
          <w:tcPr>
            <w:tcW w:w="1814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动作过快</w:t>
            </w:r>
          </w:p>
        </w:tc>
        <w:tc>
          <w:tcPr>
            <w:tcW w:w="998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w="380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单次时长 &lt; 1000 ms</w:t>
            </w:r>
          </w:p>
        </w:tc>
      </w:tr>
      <w:tr>
        <w:trPr>
          <w:cantSplit/>
        </w:trPr>
        <w:tc>
          <w:tcPr>
            <w:tcW w:w="244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TEMPO_TOO_SLOW</w:t>
            </w:r>
          </w:p>
        </w:tc>
        <w:tc>
          <w:tcPr>
            <w:tcW w:w="1814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动作过慢</w:t>
            </w:r>
          </w:p>
        </w:tc>
        <w:tc>
          <w:tcPr>
            <w:tcW w:w="998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w="380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单次时长 &gt; 5000 ms</w:t>
            </w:r>
          </w:p>
        </w:tc>
      </w:tr>
      <w:tr>
        <w:trPr>
          <w:cantSplit/>
        </w:trPr>
        <w:tc>
          <w:tcPr>
            <w:tcW w:w="244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UNSTABLE_MOTION</w:t>
            </w:r>
          </w:p>
        </w:tc>
        <w:tc>
          <w:tcPr>
            <w:tcW w:w="1814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轨迹不稳</w:t>
            </w:r>
          </w:p>
        </w:tc>
        <w:tc>
          <w:tcPr>
            <w:tcW w:w="998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w="380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主轴相对正弦参考的残差标准差 &gt; 7.0</w:t>
            </w:r>
          </w:p>
        </w:tc>
      </w:tr>
      <w:tr>
        <w:trPr>
          <w:cantSplit/>
        </w:trPr>
        <w:tc>
          <w:tcPr>
            <w:tcW w:w="244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INCOMPLETE_REPETITION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未完整完成</w:t>
            </w:r>
          </w:p>
        </w:tc>
        <w:tc>
          <w:tcPr>
            <w:tcW w:w="998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w="380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时长 &lt; 1000 ms，或结束点角速度 &gt; min_peak × 0.35</w:t>
            </w:r>
          </w:p>
        </w:tc>
      </w:tr>
    </w:tbl>
    <w:p>
      <w:pPr>
        <w:spacing w:before="0" w:after="80" w:line="200" w:lineRule="auto"/>
      </w:pPr>
    </w:p>
    <w:p>
      <w:pPr>
        <w:spacing w:before="0" w:after="40" w:line="340" w:lineRule="auto"/>
        <w:ind w:firstLine="420"/>
      </w:pPr>
      <w:r>
        <w:t xml:space="preserve">评分口径与后端逐项一致：活动范围按峰值与门限的比值给分，节奏在 1000~5000 ms 区间满分、偏离越远扣得越多，稳定性按残差标准差线性扣分，一致性按命中的错误条数扣分，四项加权后再取总分。命中高风险错误（未完整完成）时，总分被强制压到 45 分以下，并通过前端的安全覆盖把建议锁定为"降低负荷、建议停止"——</w:t>
      </w:r>
      <w:r>
        <w:rPr>
          <w:b/>
        </w:rPr>
        <w:t xml:space="preserve">这一层在前端又兜了一遍</w:t>
      </w:r>
      <w:r>
        <w:t xml:space="preserve">，避免后端没配好时提示反而变宽松。</w:t>
      </w:r>
    </w:p>
    <w:p>
      <w:pPr>
        <w:spacing w:before="0" w:after="40" w:line="340" w:lineRule="auto"/>
        <w:ind w:firstLine="420"/>
      </w:pPr>
      <w:r>
        <w:t xml:space="preserve">后端可用时优先后端结果；不可用则回退本地规则分析，报告结构、字段、评分完全一致，只在结果里标注数据来源。信号质量不合格的那一次不产生任何动作错误（只计入"不可用"），提示用户重新佩戴后重采，而不是显示"动作有问题"——这条与后端的硬性约束一致。</w:t>
      </w:r>
    </w:p>
    <w:p>
      <w:pPr>
        <w:pStyle w:val="Heading1"/>
      </w:pPr>
      <w:r>
        <w:t xml:space="preserve">九、通信与数据流时序</w:t>
      </w:r>
    </w:p>
    <w:p>
      <w:pPr>
        <w:spacing w:before="0" w:after="40" w:line="340" w:lineRule="auto"/>
        <w:ind w:firstLine="420"/>
      </w:pPr>
      <w:r>
        <w:t xml:space="preserve">图 5 把一次完整训练的消息顺序摊开。有两点值得在汇报时强调：其一，第 ③ 步由设备端发起，上位机全程只等待与计数，这就是"启动权在设备端"的具体体现；其二，第 ⑧⑩ 步是可选路径，失败时静默降级，不影响本组的计数、评分与报告——上位机在无网络、无后端的环境下依然是完整可用的。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4953127" cy="3302085"/>
            <wp:docPr id="105" name="fig5-sequence"/>
            <a:graphic>
              <a:graphicData uri="http://schemas.openxmlformats.org/drawingml/2006/picture">
                <pic:pic>
                  <pic:nvPicPr>
                    <pic:cNvPr id="105" name="fig5-sequenc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53127" cy="330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60" w:lineRule="auto"/>
        <w:jc w:val="center"/>
      </w:pPr>
      <w:r>
        <w:rPr>
          <w:color w:val="4B5563"/>
          <w:sz w:val="18"/>
          <w:szCs w:val="18"/>
        </w:rPr>
        <w:t xml:space="preserve">图 5　一次训练的通信与数据流时序</w:t>
      </w:r>
    </w:p>
    <w:p>
      <w:pPr>
        <w:pStyle w:val="Heading1"/>
      </w:pPr>
      <w:r>
        <w:t xml:space="preserve">十、完成度、实测与待办</w:t>
      </w:r>
    </w:p>
    <w:p>
      <w:pPr>
        <w:spacing w:before="0" w:after="40" w:line="340" w:lineRule="auto"/>
        <w:ind w:firstLine="420"/>
      </w:pPr>
      <w:r>
        <w:rPr>
          <w:b/>
        </w:rPr>
        <w:t xml:space="preserve">已完成</w:t>
      </w:r>
      <w:r>
        <w:t xml:space="preserve">：连接与协议解析（含虚拟设备）、在线计数状态机（含模板相关与自适应门限）、组内分析与本地规则回退、报告页与数据中心、数据采集与人工标注上传、动作库与自定义动作、3D 等比例动作演示。</w:t>
      </w:r>
    </w:p>
    <w:p>
      <w:pPr>
        <w:spacing w:before="0" w:after="40" w:line="340" w:lineRule="auto"/>
        <w:ind w:firstLine="420"/>
      </w:pPr>
      <w:r>
        <w:rPr>
          <w:b/>
        </w:rPr>
        <w:t xml:space="preserve">已有实测数据</w:t>
      </w:r>
      <w:r>
        <w:t xml:space="preserve">（来自本地诊断脚本对历史样本的回放，非答辩现场数据）：单次识别率经参数调整后由坐姿推举 26.6% 提升到 67.3%、站姿侧平举 70.8% 提升到 86.2%；晃动样本的误计在启用自适应门限后由 9 次降到 0。这些数字需要在真机上复核后才能写进正式稿，本稿暂作过程记录。</w:t>
      </w:r>
    </w:p>
    <w:p>
      <w:pPr>
        <w:keepNext/>
        <w:spacing w:before="160" w:after="60" w:line="260" w:lineRule="auto"/>
        <w:jc w:val="center"/>
      </w:pPr>
      <w:r>
        <w:rPr>
          <w:color w:val="4B5563"/>
          <w:sz w:val="18"/>
          <w:szCs w:val="18"/>
        </w:rPr>
        <w:t xml:space="preserve">表 5　待办清单（按对答辩的影响排序）</w:t>
      </w:r>
    </w:p>
    <w:tbl>
      <w:tblPr>
        <w:tblW w:w="907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628"/>
        <w:gridCol w:w="1633"/>
        <w:gridCol w:w="3809"/>
      </w:tblGrid>
      <w:tr>
        <w:trPr>
          <w:cantSplit/>
          <w:tblHeader/>
        </w:trPr>
        <w:tc>
          <w:tcPr>
            <w:tcW w:w="3628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事项</w:t>
            </w:r>
          </w:p>
        </w:tc>
        <w:tc>
          <w:tcPr>
            <w:tcW w:w="1633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归属</w:t>
            </w:r>
          </w:p>
        </w:tc>
        <w:tc>
          <w:tcPr>
            <w:tcW w:w="3809" w:type="dxa"/>
            <w:shd w:val="clear" w:color="auto" w:fill="EFF6FF"/>
            <w:vAlign w:val="center"/>
          </w:tcPr>
          <w:p>
            <w:pPr>
              <w:keepNext/>
              <w:spacing w:before="20" w:after="20" w:line="260" w:lineRule="auto"/>
              <w:jc w:val="center"/>
            </w:pPr>
            <w:r>
              <w:rPr>
                <w:b/>
                <w:sz w:val="19"/>
                <w:szCs w:val="19"/>
              </w:rPr>
              <w:t xml:space="preserve">完成标准</w:t>
            </w:r>
          </w:p>
        </w:tc>
      </w:tr>
      <w:tr>
        <w:trPr>
          <w:cantSplit/>
        </w:trPr>
        <w:tc>
          <w:tcPr>
            <w:tcW w:w="3628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统一硬件口径：申报材料写 MSPM0G3507，代码注释写 ESP32-S3</w:t>
            </w:r>
          </w:p>
        </w:tc>
        <w:tc>
          <w:tcPr>
            <w:tcW w:w="1633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全组</w:t>
            </w:r>
          </w:p>
        </w:tc>
        <w:tc>
          <w:tcPr>
            <w:tcW w:w="380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确定最终主控与无线方案，图 1 对应改一处</w:t>
            </w:r>
          </w:p>
        </w:tc>
      </w:tr>
      <w:tr>
        <w:trPr>
          <w:cantSplit/>
        </w:trPr>
        <w:tc>
          <w:tcPr>
            <w:tcW w:w="3628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真机 50 Hz 联调：丢包率、时间戳抖动、连续组计数准确率</w:t>
            </w:r>
          </w:p>
        </w:tc>
        <w:tc>
          <w:tcPr>
            <w:tcW w:w="1633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上位机 + 固件</w:t>
            </w:r>
          </w:p>
        </w:tc>
        <w:tc>
          <w:tcPr>
            <w:tcW w:w="380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连续 3 组 × 10 次，计数误差 0，报告无缺项</w:t>
            </w:r>
          </w:p>
        </w:tc>
      </w:tr>
      <w:tr>
        <w:trPr>
          <w:cantSplit/>
        </w:trPr>
        <w:tc>
          <w:tcPr>
            <w:tcW w:w="3628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计数参数按真机数据再标定一轮</w:t>
            </w:r>
          </w:p>
        </w:tc>
        <w:tc>
          <w:tcPr>
            <w:tcW w:w="1633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上位机</w:t>
            </w:r>
          </w:p>
        </w:tc>
        <w:tc>
          <w:tcPr>
            <w:tcW w:w="380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两类动作单次识别率均 ≥ 90%（现场样本）</w:t>
            </w:r>
          </w:p>
        </w:tc>
      </w:tr>
      <w:tr>
        <w:trPr>
          <w:cantSplit/>
        </w:trPr>
        <w:tc>
          <w:tcPr>
            <w:tcW w:w="3628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报告页导出（PDF/图片）与分享</w:t>
            </w:r>
          </w:p>
        </w:tc>
        <w:tc>
          <w:tcPr>
            <w:tcW w:w="1633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上位机</w:t>
            </w:r>
          </w:p>
        </w:tc>
        <w:tc>
          <w:tcPr>
            <w:tcW w:w="380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一键导出，含图与错误明细</w:t>
            </w:r>
          </w:p>
        </w:tc>
      </w:tr>
      <w:tr>
        <w:trPr>
          <w:cantSplit/>
        </w:trPr>
        <w:tc>
          <w:tcPr>
            <w:tcW w:w="3628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答辩演示脚本：虚拟设备兜底流程、断连演示、后端降级演示</w:t>
            </w:r>
          </w:p>
        </w:tc>
        <w:tc>
          <w:tcPr>
            <w:tcW w:w="1633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上位机</w:t>
            </w:r>
          </w:p>
        </w:tc>
        <w:tc>
          <w:tcPr>
            <w:tcW w:w="380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断网状态下 3 分钟内完整演示一遍</w:t>
            </w:r>
          </w:p>
        </w:tc>
      </w:tr>
      <w:tr>
        <w:trPr>
          <w:cantSplit/>
        </w:trPr>
        <w:tc>
          <w:tcPr>
            <w:tcW w:w="3628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界面截图与录屏（申报材料"演示视频"要求）</w:t>
            </w:r>
          </w:p>
        </w:tc>
        <w:tc>
          <w:tcPr>
            <w:tcW w:w="1633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全组</w:t>
            </w:r>
          </w:p>
        </w:tc>
        <w:tc>
          <w:tcPr>
            <w:tcW w:w="3809" w:type="dxa"/>
            <w:vAlign w:val="center"/>
          </w:tcPr>
          <w:p>
            <w:pPr>
              <w:keepNext/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按提交要求的分辨率与时长</w:t>
            </w:r>
          </w:p>
        </w:tc>
      </w:tr>
      <w:tr>
        <w:trPr>
          <w:cantSplit/>
        </w:trPr>
        <w:tc>
          <w:tcPr>
            <w:tcW w:w="3628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采集数据的隐私与授权说明</w:t>
            </w:r>
          </w:p>
        </w:tc>
        <w:tc>
          <w:tcPr>
            <w:tcW w:w="1633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全组</w:t>
            </w:r>
          </w:p>
        </w:tc>
        <w:tc>
          <w:tcPr>
            <w:tcW w:w="3809" w:type="dxa"/>
            <w:vAlign w:val="center"/>
          </w:tcPr>
          <w:p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在采集页与申报材料中给出说明</w:t>
            </w:r>
          </w:p>
        </w:tc>
      </w:tr>
    </w:tbl>
    <w:p>
      <w:pPr>
        <w:spacing w:before="0" w:after="80" w:line="200" w:lineRule="auto"/>
      </w:pPr>
    </w:p>
    <w:p>
      <w:pPr>
        <w:pStyle w:val="Heading1"/>
      </w:pPr>
      <w:r>
        <w:t xml:space="preserve">十一、小结</w:t>
      </w:r>
    </w:p>
    <w:p>
      <w:pPr>
        <w:spacing w:before="0" w:after="40" w:line="340" w:lineRule="auto"/>
        <w:ind w:firstLine="420"/>
      </w:pPr>
      <w:r>
        <w:t xml:space="preserve">上位机这一部分做的事情可以概括成三句：把不可靠的无线数据流变成可靠的计数事实（端侧状态机 + 双判据 + 自适应门限）；把一次训练变成一份能看懂的报告（逐次分析 + 组内汇总 + 后端可降级）；把整条链路做成可演示、可离线、可回退的形态（虚拟设备 + 本地存储 + 后端可选）。</w:t>
      </w:r>
    </w:p>
    <w:p>
      <w:pPr>
        <w:spacing w:before="0" w:after="40" w:line="340" w:lineRule="auto"/>
        <w:ind w:firstLine="420"/>
      </w:pPr>
      <w:r>
        <w:t xml:space="preserve">本稿是初稿，第五节至第七节的技术细节建议在组内评审时重点核对一次，尤其是表 3 的参数取值与表 5 的第一条硬件口径——这两处一旦定稿，图 1 与正文表述都要跟着同步。</w:t>
      </w:r>
    </w:p>
    <w:p>
      <w:pPr>
        <w:spacing w:before="0" w:after="40" w:line="340" w:lineRule="auto"/>
      </w:pPr>
      <w:r>
        <w:rPr>
          <w:color w:val="6B7280"/>
          <w:sz w:val="18"/>
          <w:szCs w:val="18"/>
        </w:rPr>
        <w:t xml:space="preserve">附：本稿所有插图均为矢量源文件（</w:t>
      </w:r>
      <w:r>
        <w:rPr>
          <w:rFonts w:ascii="Consolas" w:hAnsi="Consolas"/>
          <w:color w:val="9A3412"/>
          <w:sz w:val="18"/>
          <w:szCs w:val="18"/>
        </w:rPr>
        <w:t xml:space="preserve">report/figures/*.svg</w:t>
      </w:r>
      <w:r>
        <w:rPr>
          <w:color w:val="6B7280"/>
          <w:sz w:val="18"/>
          <w:szCs w:val="18"/>
        </w:rPr>
        <w:t xml:space="preserve">），同名 PNG 为 2 倍分辨率导出，可直接插入其他文档或替换配色。</w:t>
      </w:r>
    </w:p>
    <w:sectPr>
      <w:footerReference w:type="default" r:id="rId2"/>
      <w:pgSz w:w="11906" w:h="16838"/>
      <w:pgMar w:top="1418" w:right="1418" w:bottom="1418" w:left="1418" w:header="851" w:footer="851" w:gutter="0"/>
      <w:cols w:space="425"/>
      <w:docGrid w:type="lines" w:linePitch="31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sz w:val="17"/>
        <w:color w:val="6B7280"/>
      </w:rPr>
      <w:t xml:space="preserve">Lindoway 上位机 · 项目总结汇报（初稿）　　</w:t>
    </w:r>
    <w:r>
      <w:rPr>
        <w:sz w:val="17"/>
        <w:color w:val="6B7280"/>
      </w:rPr>
      <w:t xml:space="preserve">第 </w:t>
    </w:r>
    <w:r>
      <w:rPr>
        <w:sz w:val="17"/>
        <w:color w:val="6B7280"/>
      </w:rPr>
      <w:fldChar w:fldCharType="begin"/>
    </w:r>
    <w:r>
      <w:rPr>
        <w:sz w:val="17"/>
        <w:color w:val="6B7280"/>
      </w:rPr>
      <w:instrText xml:space="preserve"> PAGE </w:instrText>
    </w:r>
    <w:r>
      <w:rPr>
        <w:sz w:val="17"/>
        <w:color w:val="6B7280"/>
      </w:rPr>
      <w:fldChar w:fldCharType="end"/>
    </w:r>
    <w:r>
      <w:rPr>
        <w:sz w:val="17"/>
        <w:color w:val="6B7280"/>
      </w:rPr>
      <w:t xml:space="preserve"> 页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1"/>
        <w:szCs w:val="21"/>
      </w:rPr>
    </w:rPrDefault>
    <w:pPrDefault>
      <w:pPr>
        <w:spacing w:line="340" w:lineRule="auto"/>
      </w:pPr>
    </w:pPrDefault>
  </w:docDefaults>
  <w:style w:type="paragraph" w:default="1" w:styleId="Normal">
    <w:name w:val="Normal"/>
    <w:qFormat/>
    <w:pPr>
      <w:spacing w:after="40" w:line="340" w:lineRule="auto"/>
    </w:pPr>
    <w:rPr>
      <w:rFonts w:ascii="Times New Roman" w:eastAsia="宋体" w:hAnsi="Times New Roman"/>
      <w:sz w:val="21"/>
    </w:rPr>
  </w:style>
  <w:style w:type="paragraph" w:styleId="Heading1">
    <w:name w:val="heading 1"/>
    <w:basedOn w:val="Normal"/>
    <w:next w:val="Normal"/>
    <w:qFormat/>
    <w:pPr>
      <w:keepNext/>
      <w:spacing w:before="320" w:after="140" w:line="300" w:lineRule="auto"/>
      <w:outlineLvl w:val="0"/>
    </w:pPr>
    <w:rPr>
      <w:rFonts w:ascii="黑体" w:eastAsia="黑体" w:hAnsi="黑体"/>
      <w:b/>
      <w:sz w:val="30"/>
      <w:szCs w:val="30"/>
      <w:color w:val="1D4ED8"/>
    </w:rPr>
  </w:style>
  <w:style w:type="paragraph" w:styleId="Heading2">
    <w:name w:val="heading 2"/>
    <w:basedOn w:val="Normal"/>
    <w:next w:val="Normal"/>
    <w:qFormat/>
    <w:pPr>
      <w:keepNext/>
      <w:spacing w:before="240" w:after="100" w:line="300" w:lineRule="auto"/>
      <w:outlineLvl w:val="1"/>
    </w:pPr>
    <w:rPr>
      <w:rFonts w:ascii="黑体" w:eastAsia="黑体" w:hAnsi="黑体"/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80" w:line="300" w:lineRule="auto"/>
      <w:outlineLvl w:val="2"/>
    </w:pPr>
    <w:rPr>
      <w:b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100" Type="http://schemas.openxmlformats.org/officeDocument/2006/relationships/image" Target="media/fig1-architecture.png"/>
<Relationship Id="rId101" Type="http://schemas.openxmlformats.org/officeDocument/2006/relationships/image" Target="media/fig2-layers.png"/>
<Relationship Id="rId102" Type="http://schemas.openxmlformats.org/officeDocument/2006/relationships/image" Target="media/fig3-main-flow.png"/>
<Relationship Id="rId103" Type="http://schemas.openxmlformats.org/officeDocument/2006/relationships/image" Target="media/fig4-algorithm.png"/>
<Relationship Id="rId104" Type="http://schemas.openxmlformats.org/officeDocument/2006/relationships/image" Target="media/fig5-sequence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Lindoway Report Builder</Application>
  <Company>Lindoway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项目总结汇报（初稿）　Lindoway 智能哑铃 · 上位机（Web 端）部分</dc:title>
  <dc:creator>Lindoway</dc:creator>
  <cp:lastModifiedBy>Lindoway</cp:lastModifiedBy>
  <dcterms:created xsi:type="dcterms:W3CDTF">2026-10-19T00:00:00Z</dcterms:created>
  <dcterms:modified xsi:type="dcterms:W3CDTF">2026-10-19T00:00:00Z</dcterms:modified>
</cp:coreProperties>
</file>