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3624D">
      <w:pPr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二轮测试题目</w:t>
      </w:r>
    </w:p>
    <w:p w14:paraId="081179CC">
      <w:pPr>
        <w:jc w:val="center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说明文档</w:t>
      </w:r>
    </w:p>
    <w:p w14:paraId="10C39E97">
      <w:pPr>
        <w:rPr>
          <w:rFonts w:hint="eastAsia"/>
          <w:b/>
          <w:bCs/>
        </w:rPr>
      </w:pPr>
    </w:p>
    <w:p w14:paraId="2ADFFC5E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一、背景</w:t>
      </w:r>
      <w:r>
        <w:rPr>
          <w:rFonts w:hint="eastAsia"/>
          <w:b/>
          <w:bCs/>
          <w:lang w:val="en-US" w:eastAsia="zh-CN"/>
        </w:rPr>
        <w:t>说明</w:t>
      </w:r>
    </w:p>
    <w:p w14:paraId="4F221AE4">
      <w:pPr>
        <w:rPr>
          <w:rFonts w:hint="eastAsia"/>
        </w:rPr>
      </w:pPr>
      <w:r>
        <w:rPr>
          <w:rFonts w:hint="eastAsia"/>
        </w:rPr>
        <w:t>在传统规划部门的工作流中，选址论证是项目审批过程中重要的环节之一。</w:t>
      </w:r>
    </w:p>
    <w:p w14:paraId="1CB2A6DE">
      <w:pPr>
        <w:rPr>
          <w:rFonts w:hint="eastAsia"/>
        </w:rPr>
      </w:pPr>
      <w:r>
        <w:rPr>
          <w:rFonts w:hint="eastAsia"/>
        </w:rPr>
        <w:t>本次测试题要求根据规划依据，构建“建筑退让道路红线审查”模块，在2天内完成一个可运行的Demo。</w:t>
      </w:r>
    </w:p>
    <w:p w14:paraId="2572AA5A">
      <w:pPr>
        <w:rPr>
          <w:rFonts w:hint="eastAsia"/>
        </w:rPr>
      </w:pPr>
      <w:r>
        <w:rPr>
          <w:rFonts w:hint="eastAsia"/>
        </w:rPr>
        <w:t>输入为CAD总平面图（DXF</w:t>
      </w:r>
      <w:r>
        <w:rPr>
          <w:rFonts w:hint="eastAsia"/>
          <w:lang w:val="en-US" w:eastAsia="zh-CN"/>
        </w:rPr>
        <w:t>/DWG</w:t>
      </w:r>
      <w:r>
        <w:rPr>
          <w:rFonts w:hint="eastAsia"/>
        </w:rPr>
        <w:t>格式），输出为图文结合的自动审查报告。</w:t>
      </w:r>
    </w:p>
    <w:p w14:paraId="244D69D4">
      <w:pPr>
        <w:rPr>
          <w:rFonts w:hint="eastAsia"/>
        </w:rPr>
      </w:pPr>
      <w:r>
        <w:rPr>
          <w:rFonts w:hint="eastAsia"/>
        </w:rPr>
        <w:t>核心挑战在于：如何将规划规范中的条文规则转化为AI Agent可执行的结构化推理链，并保证审查准确度与运行速度。</w:t>
      </w:r>
    </w:p>
    <w:p w14:paraId="6EA30E04">
      <w:pPr>
        <w:rPr>
          <w:rFonts w:hint="eastAsia"/>
        </w:rPr>
      </w:pPr>
    </w:p>
    <w:p w14:paraId="538CB708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二、规范依据</w:t>
      </w:r>
    </w:p>
    <w:p w14:paraId="1DD30CEE">
      <w:pPr>
        <w:rPr>
          <w:rFonts w:hint="eastAsia"/>
        </w:rPr>
      </w:pPr>
      <w:r>
        <w:rPr>
          <w:rFonts w:hint="eastAsia"/>
          <w:lang w:val="en-US" w:eastAsia="zh-CN"/>
        </w:rPr>
        <w:t>本次构建的</w:t>
      </w:r>
      <w:r>
        <w:rPr>
          <w:rFonts w:hint="eastAsia"/>
        </w:rPr>
        <w:t>“建筑退让道路红线审查”模块</w:t>
      </w:r>
      <w:r>
        <w:rPr>
          <w:rFonts w:hint="eastAsia"/>
          <w:lang w:val="en-US" w:eastAsia="zh-CN"/>
        </w:rPr>
        <w:t>需满足</w:t>
      </w:r>
      <w:r>
        <w:rPr>
          <w:rFonts w:hint="eastAsia"/>
        </w:rPr>
        <w:t>《杭州市城市规划管理技术规定（2026）》</w:t>
      </w:r>
      <w:r>
        <w:rPr>
          <w:rFonts w:hint="eastAsia"/>
          <w:lang w:val="en-US" w:eastAsia="zh-CN"/>
        </w:rPr>
        <w:t>中的具体要求</w:t>
      </w:r>
      <w:r>
        <w:rPr>
          <w:rFonts w:hint="eastAsia"/>
        </w:rPr>
        <w:t>（详细见文件夹中全文文档）：</w:t>
      </w:r>
    </w:p>
    <w:p w14:paraId="7B792E59">
      <w:pPr>
        <w:ind w:firstLine="420" w:firstLineChars="0"/>
        <w:rPr>
          <w:rFonts w:hint="eastAsia"/>
        </w:rPr>
      </w:pPr>
      <w:r>
        <w:rPr>
          <w:rFonts w:hint="eastAsia"/>
        </w:rPr>
        <w:t>• 第三部分 建筑管理 /（四）建筑退让 / 第2款：沿城市道路两侧新建建筑后退道路规划红线的最小距离（表3-2）</w:t>
      </w:r>
    </w:p>
    <w:p w14:paraId="195BCBFD">
      <w:pPr>
        <w:ind w:firstLine="420" w:firstLineChars="0"/>
        <w:rPr>
          <w:rFonts w:hint="eastAsia"/>
        </w:rPr>
      </w:pPr>
      <w:r>
        <w:rPr>
          <w:rFonts w:hint="eastAsia"/>
        </w:rPr>
        <w:t>• 第三部分 建筑管理 /（四）建筑退让 / 第3款：道路交叉口四周建筑物后退道路红线的距离要求</w:t>
      </w:r>
    </w:p>
    <w:p w14:paraId="600A71F8">
      <w:pPr>
        <w:rPr>
          <w:rFonts w:hint="eastAsia"/>
        </w:rPr>
      </w:pPr>
    </w:p>
    <w:p w14:paraId="75A7C10D">
      <w:pPr>
        <w:rPr>
          <w:rFonts w:hint="eastAsia"/>
        </w:rPr>
      </w:pPr>
      <w:r>
        <w:rPr>
          <w:rFonts w:hint="eastAsia"/>
        </w:rPr>
        <w:t>候选人无需实现规范全部条款，仅需实现上述两款即可。若有余力，可扩展实现表3-3（高架/轨道退让）或表3-4（高压线退让）作为加分项。</w:t>
      </w:r>
    </w:p>
    <w:p w14:paraId="5ABB0667">
      <w:pPr>
        <w:rPr>
          <w:rFonts w:hint="eastAsia"/>
        </w:rPr>
      </w:pPr>
    </w:p>
    <w:p w14:paraId="156B42AC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三、输入数据</w:t>
      </w:r>
    </w:p>
    <w:p w14:paraId="20A22AAA">
      <w:pPr>
        <w:rPr>
          <w:rFonts w:hint="eastAsia"/>
        </w:rPr>
      </w:pPr>
      <w:r>
        <w:rPr>
          <w:rFonts w:hint="eastAsia"/>
        </w:rPr>
        <w:t>提供3份DXF测试图纸，分别为test_site</w:t>
      </w:r>
      <w:r>
        <w:rPr>
          <w:rFonts w:hint="eastAsia"/>
          <w:lang w:val="en-US" w:eastAsia="zh-CN"/>
        </w:rPr>
        <w:t>_01</w:t>
      </w:r>
      <w:r>
        <w:rPr>
          <w:rFonts w:hint="eastAsia"/>
        </w:rPr>
        <w:t>.dxf、test_site_</w:t>
      </w:r>
      <w:r>
        <w:rPr>
          <w:rFonts w:hint="eastAsia"/>
          <w:lang w:val="en-US" w:eastAsia="zh-CN"/>
        </w:rPr>
        <w:t>02</w:t>
      </w:r>
      <w:r>
        <w:rPr>
          <w:rFonts w:hint="eastAsia"/>
        </w:rPr>
        <w:t>.dxf和test_site_</w:t>
      </w:r>
      <w:r>
        <w:rPr>
          <w:rFonts w:hint="eastAsia"/>
          <w:lang w:val="en-US" w:eastAsia="zh-CN"/>
        </w:rPr>
        <w:t>03</w:t>
      </w:r>
      <w:r>
        <w:rPr>
          <w:rFonts w:hint="eastAsia"/>
        </w:rPr>
        <w:t>.d</w:t>
      </w:r>
      <w:r>
        <w:rPr>
          <w:rFonts w:hint="eastAsia"/>
          <w:lang w:val="en-US" w:eastAsia="zh-CN"/>
        </w:rPr>
        <w:t>wg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01与02为简化图纸，03为真实图纸，</w:t>
      </w:r>
      <w:r>
        <w:rPr>
          <w:rFonts w:hint="eastAsia"/>
        </w:rPr>
        <w:t>候选人</w:t>
      </w:r>
      <w:r>
        <w:rPr>
          <w:rFonts w:hint="eastAsia"/>
          <w:lang w:val="en-US" w:eastAsia="zh-CN"/>
        </w:rPr>
        <w:t>可</w:t>
      </w:r>
      <w:r>
        <w:rPr>
          <w:rFonts w:hint="eastAsia"/>
        </w:rPr>
        <w:t>使用这3份图纸验证系统的准确度与速度。</w:t>
      </w:r>
    </w:p>
    <w:p w14:paraId="0AEDB748">
      <w:pPr>
        <w:rPr>
          <w:rFonts w:hint="eastAsia"/>
        </w:rPr>
      </w:pPr>
    </w:p>
    <w:p w14:paraId="5A7C0D42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四、输出要求</w:t>
      </w:r>
    </w:p>
    <w:p w14:paraId="2EEEFBA2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审查报告格式</w:t>
      </w:r>
    </w:p>
    <w:p w14:paraId="589D84F8">
      <w:pPr>
        <w:rPr>
          <w:rFonts w:hint="eastAsia"/>
        </w:rPr>
      </w:pPr>
      <w:r>
        <w:rPr>
          <w:rFonts w:hint="eastAsia"/>
        </w:rPr>
        <w:t>支持以下任一格式：HTML报告、PDF报告、或Markdown + 独立标注图片。</w:t>
      </w:r>
      <w:bookmarkStart w:id="0" w:name="_GoBack"/>
      <w:bookmarkEnd w:id="0"/>
    </w:p>
    <w:p w14:paraId="77C5BE3B">
      <w:pPr>
        <w:rPr>
          <w:rFonts w:hint="eastAsia"/>
        </w:rPr>
      </w:pPr>
      <w:r>
        <w:rPr>
          <w:rFonts w:hint="eastAsia"/>
        </w:rPr>
        <w:t>不合规问题需在报告中进行图文结合的表述</w:t>
      </w:r>
    </w:p>
    <w:p w14:paraId="0BD8C02D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报告须包含的内容</w:t>
      </w:r>
    </w:p>
    <w:p w14:paraId="33F113DB">
      <w:pPr>
        <w:rPr>
          <w:rFonts w:hint="eastAsia"/>
        </w:rPr>
      </w:pPr>
      <w:r>
        <w:rPr>
          <w:rFonts w:hint="eastAsia"/>
        </w:rPr>
        <w:t>1.项目概览：道路数量、建筑数量、审查依据</w:t>
      </w:r>
    </w:p>
    <w:p w14:paraId="4B990F0F">
      <w:pPr>
        <w:rPr>
          <w:rFonts w:hint="eastAsia"/>
        </w:rPr>
      </w:pPr>
      <w:r>
        <w:rPr>
          <w:rFonts w:hint="eastAsia"/>
        </w:rPr>
        <w:t>2.逐栋审查明细表：建筑名称、类型、高度、临接道路、实际让距、理论让距、判定结果</w:t>
      </w:r>
    </w:p>
    <w:p w14:paraId="71B75863">
      <w:pPr>
        <w:rPr>
          <w:rFonts w:hint="eastAsia"/>
        </w:rPr>
      </w:pPr>
      <w:r>
        <w:rPr>
          <w:rFonts w:hint="eastAsia"/>
        </w:rPr>
        <w:t>3.总平面标注图：合规建筑绿色轮廓，不合规建筑红色高亮并标注实际/理论让距</w:t>
      </w:r>
    </w:p>
    <w:p w14:paraId="6611020E">
      <w:pPr>
        <w:rPr>
          <w:rFonts w:hint="eastAsia"/>
        </w:rPr>
      </w:pPr>
      <w:r>
        <w:rPr>
          <w:rFonts w:hint="eastAsia"/>
        </w:rPr>
        <w:t>4.审查结论摘要：合规/不合规建筑数量、问题清单</w:t>
      </w:r>
    </w:p>
    <w:p w14:paraId="17A53128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）</w:t>
      </w:r>
      <w:r>
        <w:rPr>
          <w:rFonts w:hint="eastAsia"/>
        </w:rPr>
        <w:t>审查速度上报</w:t>
      </w:r>
    </w:p>
    <w:p w14:paraId="55E74679">
      <w:pPr>
        <w:rPr>
          <w:rFonts w:hint="eastAsia"/>
        </w:rPr>
      </w:pPr>
      <w:r>
        <w:rPr>
          <w:rFonts w:hint="eastAsia"/>
        </w:rPr>
        <w:t>报告末尾或独立日志文件中，必须记录以下耗时：t_parse（DXF解析）、t_review（规范推理）、t_render（报告生成）、t_total（总耗时）。</w:t>
      </w:r>
    </w:p>
    <w:p w14:paraId="42C0D338">
      <w:pPr>
        <w:rPr>
          <w:rFonts w:hint="eastAsia"/>
        </w:rPr>
      </w:pPr>
    </w:p>
    <w:p w14:paraId="03A2DF30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五、技术要求</w:t>
      </w:r>
    </w:p>
    <w:p w14:paraId="6642D2C2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Agent框架</w:t>
      </w:r>
    </w:p>
    <w:p w14:paraId="7F8D2601">
      <w:pPr>
        <w:rPr>
          <w:rFonts w:hint="eastAsia"/>
        </w:rPr>
      </w:pPr>
      <w:r>
        <w:rPr>
          <w:rFonts w:hint="eastAsia"/>
        </w:rPr>
        <w:t>必须使用Agent框架实现，不可编写单一脚本从头到尾顺序执行。</w:t>
      </w:r>
    </w:p>
    <w:p w14:paraId="2ECF4BB3">
      <w:pPr>
        <w:rPr>
          <w:rFonts w:hint="eastAsia"/>
        </w:rPr>
      </w:pPr>
      <w:r>
        <w:rPr>
          <w:rFonts w:hint="eastAsia"/>
          <w:lang w:val="en-US" w:eastAsia="zh-CN"/>
        </w:rPr>
        <w:t>可</w:t>
      </w:r>
      <w:r>
        <w:rPr>
          <w:rFonts w:hint="eastAsia"/>
        </w:rPr>
        <w:t>使用的框架包括：LangChain / LangGraph、AutoGen、CrewAI、自研Agent编排框架等。</w:t>
      </w:r>
    </w:p>
    <w:p w14:paraId="5DAE6E49">
      <w:pPr>
        <w:rPr>
          <w:rFonts w:hint="eastAsia"/>
        </w:rPr>
      </w:pPr>
    </w:p>
    <w:p w14:paraId="41C3B206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代码质量要求</w:t>
      </w:r>
    </w:p>
    <w:p w14:paraId="5EAFCA47">
      <w:pPr>
        <w:rPr>
          <w:rFonts w:hint="eastAsia"/>
        </w:rPr>
      </w:pPr>
      <w:r>
        <w:rPr>
          <w:rFonts w:hint="eastAsia"/>
        </w:rPr>
        <w:t>• 核心算法（退让距离计算、Q值查询、合规判定）需有单元测试或断言验证</w:t>
      </w:r>
    </w:p>
    <w:p w14:paraId="65565B0C">
      <w:pPr>
        <w:rPr>
          <w:rFonts w:hint="eastAsia"/>
        </w:rPr>
      </w:pPr>
      <w:r>
        <w:rPr>
          <w:rFonts w:hint="eastAsia"/>
        </w:rPr>
        <w:t>• 提交可复现的运行说明（README），包含环境安装与启动命令</w:t>
      </w:r>
    </w:p>
    <w:p w14:paraId="685F66E7">
      <w:pPr>
        <w:rPr>
          <w:rFonts w:hint="eastAsia"/>
        </w:rPr>
      </w:pPr>
      <w:r>
        <w:rPr>
          <w:rFonts w:hint="eastAsia"/>
        </w:rPr>
        <w:t>• 关键函数需有注释说明</w:t>
      </w:r>
    </w:p>
    <w:p w14:paraId="7470486C">
      <w:pPr>
        <w:rPr>
          <w:rFonts w:hint="eastAsia"/>
        </w:rPr>
      </w:pPr>
    </w:p>
    <w:p w14:paraId="0D893571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六、评分标准</w:t>
      </w:r>
    </w:p>
    <w:tbl>
      <w:tblPr>
        <w:tblStyle w:val="2"/>
        <w:tblW w:w="5000" w:type="pct"/>
        <w:tblInd w:w="0" w:type="dxa"/>
        <w:tblBorders>
          <w:top w:val="single" w:color="4A6741" w:sz="12" w:space="0"/>
          <w:left w:val="none" w:color="auto" w:sz="0" w:space="0"/>
          <w:bottom w:val="single" w:color="4A6741" w:sz="12" w:space="0"/>
          <w:right w:val="none" w:color="auto" w:sz="0" w:space="0"/>
          <w:insideH w:val="single" w:color="D5DDD2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1"/>
        <w:gridCol w:w="948"/>
        <w:gridCol w:w="5927"/>
      </w:tblGrid>
      <w:tr w14:paraId="50D9EE3B">
        <w:tblPrEx>
          <w:tblBorders>
            <w:top w:val="single" w:color="4A6741" w:sz="12" w:space="0"/>
            <w:left w:val="none" w:color="auto" w:sz="0" w:space="0"/>
            <w:bottom w:val="single" w:color="4A6741" w:sz="12" w:space="0"/>
            <w:right w:val="none" w:color="auto" w:sz="0" w:space="0"/>
            <w:insideH w:val="single" w:color="D5DDD2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71" w:type="pct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</w:tcPr>
          <w:p w14:paraId="2DEBE0F9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维度</w:t>
            </w:r>
          </w:p>
        </w:tc>
        <w:tc>
          <w:tcPr>
            <w:tcW w:w="569" w:type="pct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</w:tcPr>
          <w:p w14:paraId="236FCE51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权重</w:t>
            </w:r>
          </w:p>
        </w:tc>
        <w:tc>
          <w:tcPr>
            <w:tcW w:w="3558" w:type="pct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</w:tcPr>
          <w:p w14:paraId="6B90E461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评分要点</w:t>
            </w:r>
          </w:p>
        </w:tc>
      </w:tr>
      <w:tr w14:paraId="693C5BFB">
        <w:tblPrEx>
          <w:tblBorders>
            <w:top w:val="single" w:color="4A6741" w:sz="12" w:space="0"/>
            <w:left w:val="none" w:color="auto" w:sz="0" w:space="0"/>
            <w:bottom w:val="single" w:color="4A6741" w:sz="12" w:space="0"/>
            <w:right w:val="none" w:color="auto" w:sz="0" w:space="0"/>
            <w:insideH w:val="single" w:color="D5DDD2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1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0E321351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审查准确度</w:t>
            </w:r>
          </w:p>
        </w:tc>
        <w:tc>
          <w:tcPr>
            <w:tcW w:w="569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24274E11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60%</w:t>
            </w:r>
          </w:p>
        </w:tc>
        <w:tc>
          <w:tcPr>
            <w:tcW w:w="3558" w:type="pct"/>
            <w:tcBorders>
              <w:top w:val="single" w:color="000000" w:sz="4" w:space="0"/>
              <w:bottom w:val="nil"/>
            </w:tcBorders>
            <w:shd w:val="clear" w:color="auto" w:fill="FFFFFF"/>
          </w:tcPr>
          <w:p w14:paraId="7FD4AFA8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建筑类型识别正确、道路宽度判定正确、Q值计算正确、最小让距查表正确、实际让距计算精确、合规判定与参考答案一致（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  <w:lang w:val="en-US" w:eastAsia="zh-CN"/>
              </w:rPr>
              <w:t>允许</w:t>
            </w: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±0.1m误差）</w:t>
            </w:r>
          </w:p>
        </w:tc>
      </w:tr>
      <w:tr w14:paraId="60558CE5">
        <w:tblPrEx>
          <w:tblBorders>
            <w:top w:val="single" w:color="4A6741" w:sz="12" w:space="0"/>
            <w:left w:val="none" w:color="auto" w:sz="0" w:space="0"/>
            <w:bottom w:val="single" w:color="4A6741" w:sz="12" w:space="0"/>
            <w:right w:val="none" w:color="auto" w:sz="0" w:space="0"/>
            <w:insideH w:val="single" w:color="D5DDD2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1" w:type="pct"/>
            <w:tcBorders>
              <w:top w:val="nil"/>
              <w:bottom w:val="nil"/>
            </w:tcBorders>
            <w:shd w:val="clear" w:color="auto" w:fill="FFFFFF"/>
          </w:tcPr>
          <w:p w14:paraId="0547F468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审查速度</w:t>
            </w:r>
          </w:p>
        </w:tc>
        <w:tc>
          <w:tcPr>
            <w:tcW w:w="569" w:type="pct"/>
            <w:tcBorders>
              <w:top w:val="nil"/>
              <w:bottom w:val="nil"/>
            </w:tcBorders>
            <w:shd w:val="clear" w:color="auto" w:fill="FFFFFF"/>
          </w:tcPr>
          <w:p w14:paraId="2020DB26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20%</w:t>
            </w:r>
          </w:p>
        </w:tc>
        <w:tc>
          <w:tcPr>
            <w:tcW w:w="3558" w:type="pct"/>
            <w:tcBorders>
              <w:top w:val="nil"/>
              <w:bottom w:val="nil"/>
            </w:tcBorders>
            <w:shd w:val="clear" w:color="auto" w:fill="FFFFFF"/>
          </w:tcPr>
          <w:p w14:paraId="10E68D24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单份图纸全链路总耗时</w:t>
            </w:r>
          </w:p>
        </w:tc>
      </w:tr>
      <w:tr w14:paraId="6D22001C">
        <w:tblPrEx>
          <w:tblBorders>
            <w:top w:val="single" w:color="4A6741" w:sz="12" w:space="0"/>
            <w:left w:val="none" w:color="auto" w:sz="0" w:space="0"/>
            <w:bottom w:val="single" w:color="4A6741" w:sz="12" w:space="0"/>
            <w:right w:val="none" w:color="auto" w:sz="0" w:space="0"/>
            <w:insideH w:val="single" w:color="D5DDD2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1" w:type="pct"/>
            <w:tcBorders>
              <w:top w:val="nil"/>
              <w:bottom w:val="nil"/>
            </w:tcBorders>
            <w:shd w:val="clear" w:color="auto" w:fill="FFFFFF"/>
          </w:tcPr>
          <w:p w14:paraId="607DF927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Agent架构设计</w:t>
            </w:r>
          </w:p>
        </w:tc>
        <w:tc>
          <w:tcPr>
            <w:tcW w:w="569" w:type="pct"/>
            <w:tcBorders>
              <w:top w:val="nil"/>
              <w:bottom w:val="nil"/>
            </w:tcBorders>
            <w:shd w:val="clear" w:color="auto" w:fill="FFFFFF"/>
          </w:tcPr>
          <w:p w14:paraId="60C64A97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10%</w:t>
            </w:r>
          </w:p>
        </w:tc>
        <w:tc>
          <w:tcPr>
            <w:tcW w:w="3558" w:type="pct"/>
            <w:tcBorders>
              <w:top w:val="nil"/>
              <w:bottom w:val="nil"/>
            </w:tcBorders>
            <w:shd w:val="clear" w:color="auto" w:fill="FFFFFF"/>
          </w:tcPr>
          <w:p w14:paraId="082B8502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Agent拆分合理、职责清晰、可扩展性、错误处理与日志记录</w:t>
            </w:r>
          </w:p>
        </w:tc>
      </w:tr>
      <w:tr w14:paraId="0FD95F6F">
        <w:tblPrEx>
          <w:tblBorders>
            <w:top w:val="single" w:color="4A6741" w:sz="12" w:space="0"/>
            <w:left w:val="none" w:color="auto" w:sz="0" w:space="0"/>
            <w:bottom w:val="single" w:color="4A6741" w:sz="12" w:space="0"/>
            <w:right w:val="none" w:color="auto" w:sz="0" w:space="0"/>
            <w:insideH w:val="single" w:color="D5DDD2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1" w:type="pct"/>
            <w:tcBorders>
              <w:top w:val="nil"/>
              <w:bottom w:val="single" w:color="000000" w:sz="12" w:space="0"/>
            </w:tcBorders>
            <w:shd w:val="clear" w:color="auto" w:fill="FFFFFF"/>
          </w:tcPr>
          <w:p w14:paraId="753EE08A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报告质量</w:t>
            </w:r>
          </w:p>
        </w:tc>
        <w:tc>
          <w:tcPr>
            <w:tcW w:w="569" w:type="pct"/>
            <w:tcBorders>
              <w:top w:val="nil"/>
              <w:bottom w:val="single" w:color="000000" w:sz="12" w:space="0"/>
            </w:tcBorders>
            <w:shd w:val="clear" w:color="auto" w:fill="FFFFFF"/>
          </w:tcPr>
          <w:p w14:paraId="07EF428A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10%</w:t>
            </w:r>
          </w:p>
        </w:tc>
        <w:tc>
          <w:tcPr>
            <w:tcW w:w="3558" w:type="pct"/>
            <w:tcBorders>
              <w:top w:val="nil"/>
              <w:bottom w:val="single" w:color="000000" w:sz="12" w:space="0"/>
            </w:tcBorders>
            <w:shd w:val="clear" w:color="auto" w:fill="FFFFFF"/>
          </w:tcPr>
          <w:p w14:paraId="6F77DE3B">
            <w:pPr>
              <w:spacing w:before="40" w:after="40"/>
              <w:ind w:firstLine="0"/>
              <w:jc w:val="center"/>
              <w:rPr>
                <w:rFonts w:hint="eastAsia" w:asciiTheme="majorEastAsia" w:hAnsiTheme="majorEastAsia" w:eastAsiaTheme="majorEastAsia" w:cstheme="majorEastAsia"/>
                <w:b w:val="0"/>
                <w:color w:val="00000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color w:val="000000"/>
                <w:sz w:val="20"/>
              </w:rPr>
              <w:t>图文结合、问题定位准确、结论摘要清晰、耗时上报完整</w:t>
            </w:r>
          </w:p>
        </w:tc>
      </w:tr>
    </w:tbl>
    <w:p w14:paraId="26337E0A">
      <w:pPr>
        <w:rPr>
          <w:rFonts w:hint="eastAsia"/>
        </w:rPr>
      </w:pPr>
    </w:p>
    <w:p w14:paraId="47A65A2E">
      <w:pPr>
        <w:rPr>
          <w:rFonts w:hint="eastAsia"/>
        </w:rPr>
      </w:pPr>
    </w:p>
    <w:p w14:paraId="7C40303F">
      <w:pPr>
        <w:rPr>
          <w:rFonts w:hint="eastAsia"/>
          <w:b/>
          <w:bCs/>
        </w:rPr>
      </w:pPr>
      <w:r>
        <w:rPr>
          <w:rFonts w:hint="eastAsia"/>
          <w:b/>
          <w:bCs/>
        </w:rPr>
        <w:t>七、交付物清单</w:t>
      </w:r>
    </w:p>
    <w:p w14:paraId="44E73276">
      <w:pPr>
        <w:rPr>
          <w:rFonts w:hint="eastAsia"/>
        </w:rPr>
      </w:pPr>
      <w:r>
        <w:rPr>
          <w:rFonts w:hint="eastAsia"/>
        </w:rPr>
        <w:t>1.源代码（完整项目目录，含依赖文件）</w:t>
      </w:r>
    </w:p>
    <w:p w14:paraId="0ED761B1">
      <w:pPr>
        <w:rPr>
          <w:rFonts w:hint="eastAsia"/>
        </w:rPr>
      </w:pPr>
      <w:r>
        <w:rPr>
          <w:rFonts w:hint="eastAsia"/>
        </w:rPr>
        <w:t>2.README.md：运行说明、Agent架构设计简述、技术选型理由</w:t>
      </w:r>
    </w:p>
    <w:p w14:paraId="603318C2">
      <w:pPr>
        <w:rPr>
          <w:rFonts w:hint="eastAsia"/>
        </w:rPr>
      </w:pPr>
      <w:r>
        <w:rPr>
          <w:rFonts w:hint="eastAsia"/>
        </w:rPr>
        <w:t>3.审查报告：针对三份DXF图纸的完整审查报告</w:t>
      </w:r>
    </w:p>
    <w:p w14:paraId="71A45FA4">
      <w:pPr>
        <w:rPr>
          <w:rFonts w:hint="eastAsia"/>
        </w:rPr>
      </w:pPr>
      <w:r>
        <w:rPr>
          <w:rFonts w:hint="eastAsia"/>
        </w:rPr>
        <w:t>4.速度测试日志：记录t_parse / t_review / t_render / t_total</w:t>
      </w:r>
    </w:p>
    <w:p w14:paraId="02260DEC">
      <w:pPr>
        <w:rPr>
          <w:rFonts w:hint="eastAsia"/>
        </w:rPr>
      </w:pPr>
      <w:r>
        <w:rPr>
          <w:rFonts w:hint="eastAsia"/>
        </w:rPr>
        <w:t>5.（可选）演示视频/动图：展示从DXF输入到报告输出的全过程</w:t>
      </w:r>
    </w:p>
    <w:p w14:paraId="0754F131">
      <w:pPr>
        <w:rPr>
          <w:rFonts w:hint="eastAsia"/>
        </w:rPr>
      </w:pPr>
    </w:p>
    <w:p w14:paraId="00F50A14">
      <w:pPr>
        <w:rPr>
          <w:rFonts w:hint="eastAsia"/>
          <w:b/>
          <w:bCs/>
        </w:rPr>
      </w:pPr>
      <w:r>
        <w:rPr>
          <w:rFonts w:hint="eastAsia"/>
          <w:b/>
          <w:bCs/>
        </w:rPr>
        <w:t>八、诚信声明</w:t>
      </w:r>
    </w:p>
    <w:p w14:paraId="14496FBB">
      <w:r>
        <w:rPr>
          <w:rFonts w:hint="eastAsia"/>
        </w:rPr>
        <w:t>本轮题测允许使用公开的开源库与AI辅助编程工具，但候选人必须能够完整解释每一处核心代码的设计意图与业务逻辑。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E00201"/>
    <w:rsid w:val="0A556F05"/>
    <w:rsid w:val="0F3D21CF"/>
    <w:rsid w:val="19AF3CC9"/>
    <w:rsid w:val="24E00201"/>
    <w:rsid w:val="312908A4"/>
    <w:rsid w:val="35B23FA8"/>
    <w:rsid w:val="38E43F10"/>
    <w:rsid w:val="39184991"/>
    <w:rsid w:val="412C73CB"/>
    <w:rsid w:val="64EF6909"/>
    <w:rsid w:val="65FB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1182</Words>
  <Characters>1409</Characters>
  <Lines>0</Lines>
  <Paragraphs>0</Paragraphs>
  <TotalTime>14</TotalTime>
  <ScaleCrop>false</ScaleCrop>
  <LinksUpToDate>false</LinksUpToDate>
  <CharactersWithSpaces>1433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2026-05-04T03:10:00Z</dcterms:created>
  <dc:creator>小心</dc:creator>
  <cp:lastModifiedBy>小心</cp:lastModifiedBy>
  <dcterms:modified xsi:type="dcterms:W3CDTF">2026-05-04T03:56:22Z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4B29FE6EBA014754B0C13C78D6F75428_11</vt:lpwstr>
  </property>
  <property fmtid="{D5CDD505-2E9C-101B-9397-08002B2CF9AE}" pid="4" name="KSOTemplateDocerSaveRecord">
    <vt:lpwstr>eyJoZGlkIjoiMGNhMWUxNDgzYzBlODE0ZmEzMjgxMjkzN2UyODJmMDAiLCJ1c2VySWQiOiI5Mzk5MTUyNjUifQ==</vt:lpwstr>
  </property>
</Properties>
</file>