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Songti SC Light" w:hAnsi="Songti SC Light" w:cs="Songti SC Light"/>
          <w:sz w:val="28"/>
          <w:sz-cs w:val="28"/>
        </w:rPr>
        <w:t xml:space="preserve">&lt;!doctype html&gt;</w:t>
      </w:r>
    </w:p>
    <w:p>
      <w:pPr/>
      <w:r>
        <w:rPr>
          <w:rFonts w:ascii="Songti SC Light" w:hAnsi="Songti SC Light" w:cs="Songti SC Light"/>
          <w:sz w:val="28"/>
          <w:sz-cs w:val="28"/>
        </w:rPr>
        <w:t xml:space="preserve">&lt;html&gt;&lt;head&gt;&lt;meta charset="utf-8"&gt;&lt;style&gt;body{font-family:'Hiragino Sans GB','Songti SC','STSong',sans-serif;font-size:18pt}&lt;/style&gt;&lt;/head&gt;&lt;body&gt;九天 AlphaData 产品说明文档：中文显示测试&lt;/body&gt;&lt;/html&gt;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