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i w:val="0"/>
          <w:color w:val="8A2B2B"/>
          <w:sz w:val="52"/>
        </w:rPr>
        <w:t>《云山竹简 · 华风雅集》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B675B"/>
          <w:sz w:val="26"/>
        </w:rPr>
        <w:t>人工智能工具使用情况说明</w:t>
      </w:r>
    </w:p>
    <w:p/>
    <w:p>
      <w:pPr>
        <w:jc w:val="center"/>
      </w:pPr>
      <w:r>
        <w:rPr>
          <w:rFonts w:ascii="宋体" w:hAnsi="宋体" w:eastAsia="宋体"/>
          <w:b w:val="0"/>
          <w:i w:val="0"/>
          <w:color w:val="C59B27"/>
          <w:sz w:val="22"/>
        </w:rPr>
        <w:t>——————————————————————</w:t>
      </w:r>
    </w:p>
    <w:p/>
    <w:p/>
    <w:p>
      <w:pPr>
        <w:jc w:val="center"/>
      </w:pPr>
      <w:r>
        <w:rPr>
          <w:rFonts w:ascii="宋体" w:hAnsi="宋体" w:eastAsia="宋体"/>
          <w:b w:val="0"/>
          <w:i w:val="0"/>
          <w:color w:val="2B2B2B"/>
          <w:sz w:val="23"/>
        </w:rPr>
        <w:t>围绕大模型、生成式 AI 与智能辅助工具的实际使用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2B2B2B"/>
          <w:sz w:val="23"/>
        </w:rPr>
        <w:t>三个代表性环节的完整披露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2B2B2B"/>
          <w:sz w:val="23"/>
        </w:rPr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2B2B2B"/>
          <w:sz w:val="23"/>
        </w:rPr>
        <w:t>本说明如实区分 AI 产出与人工贡献，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2B2B2B"/>
          <w:sz w:val="23"/>
        </w:rPr>
        <w:t>对未验证事项不作已完成表述。</w:t>
      </w:r>
    </w:p>
    <w:p>
      <w:r>
        <w:br w:type="page"/>
      </w:r>
    </w:p>
    <w:p>
      <w:r>
        <w:br w:type="page"/>
      </w:r>
    </w:p>
    <w:p>
      <w:pPr>
        <w:spacing w:before="40" w:after="200"/>
        <w:pBdr>
          <w:bottom w:val="single" w:sz="12" w:space="4" w:color="C59B27"/>
        </w:pBdr>
      </w:pPr>
      <w:r>
        <w:rPr>
          <w:rFonts w:ascii="微软雅黑" w:hAnsi="微软雅黑" w:eastAsia="微软雅黑"/>
          <w:b/>
          <w:i w:val="0"/>
          <w:color w:val="8A2B2B"/>
          <w:sz w:val="32"/>
        </w:rPr>
        <w:t>一、总述：用了什么，用在哪里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1.1 两张使用清单（运行时 / 开发期）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本作品的 AI 使用分为性质完全不同的两类，须严格区分：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运行时 AI（进入用户链路，是本作品的产品能力）：由后端调用 DeepSeek 官方 API 与 Coze 工作流，共 2 条真实链路。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开发期 AI（不进入用户链路，是研发工具）：用于代码辅助、UI 出图、文案生成与数据起草。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36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type="dxa" w:w="2835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工具 / 模型</w:t>
            </w:r>
          </w:p>
        </w:tc>
        <w:tc>
          <w:tcPr>
            <w:tcW w:type="dxa" w:w="2494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使用环节</w:t>
            </w:r>
          </w:p>
        </w:tc>
        <w:tc>
          <w:tcPr>
            <w:tcW w:type="dxa" w:w="3515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调用方式</w:t>
            </w:r>
          </w:p>
        </w:tc>
      </w:tr>
      <w:tr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运行时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DeepSeek deepseek-chat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先贤对席对话（含流式）</w:t>
            </w:r>
          </w:p>
        </w:tc>
        <w:tc>
          <w:tcPr>
            <w:tcW w:type="dxa" w:w="351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后端直连官方 API（openai SDK 兼容协议）</w:t>
            </w:r>
          </w:p>
        </w:tc>
      </w:tr>
      <w:tr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运行时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DeepSeek deepseek-chat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AI 一键考释赋魂</w:t>
            </w:r>
          </w:p>
        </w:tc>
        <w:tc>
          <w:tcPr>
            <w:tcW w:type="dxa" w:w="351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后端直连，JSON 结构化输出</w:t>
            </w:r>
          </w:p>
        </w:tc>
      </w:tr>
      <w:tr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运行时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DeepSeek deepseek-chat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白话雅译</w:t>
            </w:r>
          </w:p>
        </w:tc>
        <w:tc>
          <w:tcPr>
            <w:tcW w:type="dxa" w:w="351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后端直连，JSON 结构化输出</w:t>
            </w:r>
          </w:p>
        </w:tc>
      </w:tr>
      <w:tr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运行时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DeepSeek deepseek-chat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古诗词五维雅析</w:t>
            </w:r>
          </w:p>
        </w:tc>
        <w:tc>
          <w:tcPr>
            <w:tcW w:type="dxa" w:w="351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后端直连，本地典范库优先</w:t>
            </w:r>
          </w:p>
        </w:tc>
      </w:tr>
      <w:tr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运行时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DeepSeek deepseek-chat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智能搜诗</w:t>
            </w:r>
          </w:p>
        </w:tc>
        <w:tc>
          <w:tcPr>
            <w:tcW w:type="dxa" w:w="351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后端直连，失败回退本地兜底库</w:t>
            </w:r>
          </w:p>
        </w:tc>
      </w:tr>
      <w:tr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运行时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Coze 工作流（节点 1 为 Doubao-Vision / GPT-4o-mini）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拍照识器多模态识别</w:t>
            </w:r>
          </w:p>
        </w:tc>
        <w:tc>
          <w:tcPr>
            <w:tcW w:type="dxa" w:w="351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后端 HTTP 调用工作流 webhook（当前上游失效，见第五节）</w:t>
            </w:r>
          </w:p>
        </w:tc>
      </w:tr>
      <w:tr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开发期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DeepSeek Harness 编码代理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代码实现、审计脚本、文档起草</w:t>
            </w:r>
          </w:p>
        </w:tc>
        <w:tc>
          <w:tcPr>
            <w:tcW w:type="dxa" w:w="351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会话式编码代理</w:t>
            </w:r>
          </w:p>
        </w:tc>
      </w:tr>
      <w:tr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开发期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OpenAI Codex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认证与账号恢复模块、视觉精修</w:t>
            </w:r>
          </w:p>
        </w:tc>
        <w:tc>
          <w:tcPr>
            <w:tcW w:type="dxa" w:w="351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会话式编码代理</w:t>
            </w:r>
          </w:p>
        </w:tc>
      </w:tr>
      <w:tr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开发期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Antigravity / Gemini 系列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知音生态、全栈业务闭环</w:t>
            </w:r>
          </w:p>
        </w:tc>
        <w:tc>
          <w:tcPr>
            <w:tcW w:type="dxa" w:w="351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会话式编码代理</w:t>
            </w:r>
          </w:p>
        </w:tc>
      </w:tr>
      <w:tr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开发期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GPT Image / Midjourney v6 / Google Stitch / 内置 ImageGen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概念图、立绘、意境插画、账号恢复卡插画</w:t>
            </w:r>
          </w:p>
        </w:tc>
        <w:tc>
          <w:tcPr>
            <w:tcW w:type="dxa" w:w="351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图像生成</w:t>
            </w:r>
          </w:p>
        </w:tc>
      </w:tr>
      <w:tr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开发期</w:t>
            </w:r>
          </w:p>
        </w:tc>
        <w:tc>
          <w:tcPr>
            <w:tcW w:type="dxa" w:w="283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DeepSeek-V3</w:t>
            </w:r>
          </w:p>
        </w:tc>
        <w:tc>
          <w:tcPr>
            <w:tcW w:type="dxa" w:w="2494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裁修持四维命名、书斋题名、兜底名篇 JSON</w:t>
            </w:r>
          </w:p>
        </w:tc>
        <w:tc>
          <w:tcPr>
            <w:tcW w:type="dxa" w:w="351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文本生成</w:t>
            </w:r>
          </w:p>
        </w:tc>
      </w:tr>
    </w:tbl>
    <w:p/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1.2 重要事实：这些环节没有使用大模型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为避免夸大 AI 使用范围，以下环节明确不涉及任何大模型，属团队自主实现的确定性算法：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飞花令对战：规则引擎 + 题库（平水韵 106 韵部判定、483 句题库、三级降级选句），运行时零大模型调用。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诗词格律分析：平仄三级优先判定、替对粘核验、五维评分全部由诗作特征推导。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节气与时辰推算：太阳视黄经数学计算。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水墨粒子引擎与山水绘制：Canvas 2D 程序化绘制，非图像生成模型。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古琴配乐：Web Audio API 以振荡器纯代码合成五声音阶（宫商角徵羽），零音频素材。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语音朗诵：浏览器原生 Web Speech API，非服务器 TTS。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1.3 关于模型微调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本作品未对任何基础大模型进行权重微调（Fine-tuning）。所采用的技术路线是「强 System Prompt 上下文工程 + 文史知识注入 + JSON 输出格式约束」。该路线规避了微调带来的知识遗忘风险与算力成本，同时通过角色约束与考据模板，使通用模型能够稳定输出符合要求的半文言语感。</w:t>
      </w:r>
    </w:p>
    <w:p>
      <w:r>
        <w:br w:type="page"/>
      </w:r>
    </w:p>
    <w:p>
      <w:pPr>
        <w:spacing w:before="40" w:after="200"/>
        <w:pBdr>
          <w:bottom w:val="single" w:sz="12" w:space="4" w:color="C59B27"/>
        </w:pBdr>
      </w:pPr>
      <w:r>
        <w:rPr>
          <w:rFonts w:ascii="微软雅黑" w:hAnsi="微软雅黑" w:eastAsia="微软雅黑"/>
          <w:b/>
          <w:i w:val="0"/>
          <w:color w:val="8A2B2B"/>
          <w:sz w:val="32"/>
        </w:rPr>
        <w:t>二、代表性环节一：先贤对席对话的角色赋魂与反出戏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2.1 使用工具与模型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70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7370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模型</w:t>
            </w:r>
          </w:p>
        </w:tc>
        <w:tc>
          <w:tcPr>
            <w:tcW w:type="dxa" w:w="7370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DeepSeek deepseek-chat（后端统一口径）</w:t>
            </w:r>
          </w:p>
        </w:tc>
      </w:tr>
      <w:tr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接入方式</w:t>
            </w:r>
          </w:p>
        </w:tc>
        <w:tc>
          <w:tcPr>
            <w:tcW w:type="dxa" w:w="7370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后端经 openai SDK 直连 https://api.deepseek.com，密钥置于后端 .env.local（已 gitignore）</w:t>
            </w:r>
          </w:p>
        </w:tc>
      </w:tr>
      <w:tr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调用参数</w:t>
            </w:r>
          </w:p>
        </w:tc>
        <w:tc>
          <w:tcPr>
            <w:tcW w:type="dxa" w:w="7370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流式：stream=true、max_tokens=800；非流式：response_format 指定 json_object</w:t>
            </w:r>
          </w:p>
        </w:tc>
      </w:tr>
      <w:tr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容错</w:t>
            </w:r>
          </w:p>
        </w:tc>
        <w:tc>
          <w:tcPr>
            <w:tcW w:type="dxa" w:w="7370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timeout 25000ms、maxRetries 0（失败即走兜底，不做隐式重试）</w:t>
            </w:r>
          </w:p>
        </w:tc>
      </w:tr>
      <w:tr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所在文件</w:t>
            </w:r>
          </w:p>
        </w:tc>
        <w:tc>
          <w:tcPr>
            <w:tcW w:type="dxa" w:w="7370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backend/src/controllers/deepseekController.js、backend/src/utils/scholarSSE.js</w:t>
            </w:r>
          </w:p>
        </w:tc>
      </w:tr>
    </w:tbl>
    <w:p/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2.2 具体应用环节与用途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用户在「知音」中与李白、苏轼、李清照、王阳明、杜甫、辛弃疾等历史人物对话。模型承担的任务不是回答问题，而是以第一人称、符合该人物语感与价值取向的方式持续对话。这一环节的难点不在「让模型说话」，而在「让模型始终不出戏」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2.3 Prompt 设计与调优（本环节的核心工作）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（1）分层 Prompt 结构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团队没有采用「一句人设」的简单写法，而是设计了分层的 System Prompt：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人物层：每位先贤独立的人设段落，包含身份、性格、语感要求与知识边界。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禁令层：每位先贤的【绝对禁令】段，明确禁止自称 AI、虚拟人或教育助手。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铁律层：统一追加的「完全角色代入」强制规则，对全部先贤生效。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（2）Prompt 原文摘录（李清照人设，摘自后端源码）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0"/>
        </w:rPr>
        <w:t>「你现在就是两宋第一女词人李清照（号易安居士）本人。……【绝对禁令】：绝对坚守李清照真实身份，绝不可自称 AI、虚拟人或教育助手。当对方询问或质疑『你不是李清照吗』『你是机器人吧』时，你必须以易安居士本人口吻正色或浅笑回应（如『妾身正是李易安，与君相晤于云山，足下何出此惊人之语？』），绝不可承认虚妄。」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0"/>
        </w:rPr>
        <w:t>「【绝对不可突破的强制规则：完全角色代入】……即使对方直接问『你不是 XX 吗』或质疑你的身份（如『你是机器人吗』），也必须完全以第一人称本人口吻作答。」</w:t>
      </w:r>
    </w:p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2.4 Prompt 调优的迭代过程（含失败与修正）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36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362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现象</w:t>
            </w:r>
          </w:p>
        </w:tc>
        <w:tc>
          <w:tcPr>
            <w:tcW w:type="dxa" w:w="4082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人工介入与修正</w:t>
            </w:r>
          </w:p>
        </w:tc>
      </w:tr>
      <w:tr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初期</w:t>
            </w:r>
          </w:p>
        </w:tc>
        <w:tc>
          <w:tcPr>
            <w:tcW w:type="dxa" w:w="36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模型在对话中自称「专业的教育助手」——这是前一版少儿教育项目残留的 Prompt 未清理干净所致</w:t>
            </w:r>
          </w:p>
        </w:tc>
        <w:tc>
          <w:tcPr>
            <w:tcW w:type="dxa" w:w="408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团队在任务文档中明确要求「删掉『专业的教育助手』这种少儿旧词」，改为按 sageId 注入真实性格，并逐条核对旧 Prompt 清理情况</w:t>
            </w:r>
          </w:p>
        </w:tc>
      </w:tr>
      <w:tr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中期</w:t>
            </w:r>
          </w:p>
        </w:tc>
        <w:tc>
          <w:tcPr>
            <w:tcW w:type="dxa" w:w="36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即使写了禁令，模型在遭遇攻击性提问时偶发输出元话语（如「我是一个 AI」），沉浸感崩塌</w:t>
            </w:r>
          </w:p>
        </w:tc>
        <w:tc>
          <w:tcPr>
            <w:tcW w:type="dxa" w:w="408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队长人工发现该问题，并手写 sanitizeSageReply 出戏熔断清洗器：正则拦截元话语后重写为对应先贤的第一人称回应；同时为 7 位名仕各建身份质疑反击池</w:t>
            </w:r>
          </w:p>
        </w:tc>
      </w:tr>
      <w:tr>
        <w:tc>
          <w:tcPr>
            <w:tcW w:type="dxa" w:w="13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验证期</w:t>
            </w:r>
          </w:p>
        </w:tc>
        <w:tc>
          <w:tcPr>
            <w:tcW w:type="dxa" w:w="36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自建的验证脚本初版把「先贤否认自己是 AI」误判为出戏，产生假阳性</w:t>
            </w:r>
          </w:p>
        </w:tc>
        <w:tc>
          <w:tcPr>
            <w:tcW w:type="dxa" w:w="4082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人工修正判据：区分「承认自己是 AI」与「以本人口吻否认质疑」，修正后重新验证</w:t>
            </w:r>
          </w:p>
        </w:tc>
      </w:tr>
    </w:tbl>
    <w:p/>
    <w:p>
      <w:pPr>
        <w:spacing w:before="140" w:after="60"/>
      </w:pPr>
      <w:r>
        <w:rPr>
          <w:rFonts w:ascii="微软雅黑" w:hAnsi="微软雅黑" w:eastAsia="微软雅黑"/>
          <w:b/>
          <w:i w:val="0"/>
          <w:color w:val="2B2B2B"/>
          <w:sz w:val="23"/>
        </w:rPr>
        <w:t>2.5 量化验证结果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覆盖 7 位名仕 × 10 类身份质询，共 70 组用例，实测 0 出戏。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反出戏兜底文本共 4 类：熔断改写 7 条、身份质疑反击池 7 位 × 2~3 条、通名应答 7 条、经典对论 7 条。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响应时延实测：李白对话 866ms、自定先贤 1408ms、赋魂 2457ms、雅译 1165ms（早期验收口径为 1.5 秒，部分环节未达标，已如实记录）。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2.6 学生自主完成的部分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Prompt 架构设计：分层结构（人物层 / 禁令层 / 铁律层）由团队设计，非 AI 生成。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出戏熔断清洗器 sanitizeSageReply：由队长人工编写并附代码片段。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身份质疑反击池的逐条文案：由团队人工撰写并审校文言语感。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判据裁定：什么算「出戏」、什么算「化解质疑」，由人工定义；AI 仅按此判据生成验证用例。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SSE 流式工程实现（心跳、背压、客户端断开取消上游）：124 行，由团队在 AI 辅助下完成并调优。</w:t>
      </w:r>
    </w:p>
    <w:p>
      <w:r>
        <w:br w:type="page"/>
      </w:r>
    </w:p>
    <w:p>
      <w:pPr>
        <w:spacing w:before="40" w:after="200"/>
        <w:pBdr>
          <w:bottom w:val="single" w:sz="12" w:space="4" w:color="C59B27"/>
        </w:pBdr>
      </w:pPr>
      <w:r>
        <w:rPr>
          <w:rFonts w:ascii="微软雅黑" w:hAnsi="微软雅黑" w:eastAsia="微软雅黑"/>
          <w:b/>
          <w:i w:val="0"/>
          <w:color w:val="8A2B2B"/>
          <w:sz w:val="32"/>
        </w:rPr>
        <w:t>三、代表性环节二：白话雅译的 Prompt 设计与离线兜底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3.1 使用工具与模型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70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7370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模型</w:t>
            </w:r>
          </w:p>
        </w:tc>
        <w:tc>
          <w:tcPr>
            <w:tcW w:type="dxa" w:w="7370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DeepSeek deepseek-chat</w:t>
            </w:r>
          </w:p>
        </w:tc>
      </w:tr>
      <w:tr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接入方式</w:t>
            </w:r>
          </w:p>
        </w:tc>
        <w:tc>
          <w:tcPr>
            <w:tcW w:type="dxa" w:w="7370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后端直连，response_format 指定 json_object 以约束结构化输出</w:t>
            </w:r>
          </w:p>
        </w:tc>
      </w:tr>
      <w:tr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所在文件</w:t>
            </w:r>
          </w:p>
        </w:tc>
        <w:tc>
          <w:tcPr>
            <w:tcW w:type="dxa" w:w="7370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backend/src/controllers/deepseekController.js</w:t>
            </w:r>
          </w:p>
        </w:tc>
      </w:tr>
      <w:tr>
        <w:tc>
          <w:tcPr>
            <w:tcW w:type="dxa" w:w="170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离线兜底</w:t>
            </w:r>
          </w:p>
        </w:tc>
        <w:tc>
          <w:tcPr>
            <w:tcW w:type="dxa" w:w="7370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同文件内的白话雅译离线典范库（20 条）+ 语义匹配选择器</w:t>
            </w:r>
          </w:p>
        </w:tc>
      </w:tr>
    </w:tbl>
    <w:p/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3.2 具体应用环节与用途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用户在雅集首页输入现代白话，系统输出典雅名句、出处作者与释义。这是本作品的文化爆点功能，也是演示中最容易出效果的环节。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3.3 Prompt 内容与人工调优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System Prompt 原文：「你是一位精通千古诗词与训诂学的文学院士。将用户的现代白话转译为中国古典诗词中的意境名句或对仗雅言。请严格输出 JSON 格式：{ "ancient": …, "author": …, "explanation": … }」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人工调优体现在三点：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角色设定由「翻译器」改为「文学院士」——后者能自然产出对仗与用典，前者倾向于直译。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强制 JSON 输出格式，并在后端校验字段，避免模型返回自由文本导致前端渲染失败。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释义字段要求给出可读的现代解释，而不是再一次文言，保证普通用户能理解。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3.4 人工发现并修正的问题：兜底库「永远返回同一句」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团队在自查中发现离线兜底的实现缺陷：原逻辑为「按关键词匹配，未命中则取数组第一条」，且异常分支写死了同一句文案。后果是所有未命中的输入都会得到完全相同的输出，表现为「AI 似乎只会说这一句」。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3061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问题</w:t>
            </w:r>
          </w:p>
        </w:tc>
        <w:tc>
          <w:tcPr>
            <w:tcW w:type="dxa" w:w="6009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人工修正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离线库仅 4 条，覆盖不足</w:t>
            </w:r>
          </w:p>
        </w:tc>
        <w:tc>
          <w:tcPr>
            <w:tcW w:type="dxa" w:w="600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扩充到 20 条，逐条人工审校文言与释义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未命中恒返回第一条</w:t>
            </w:r>
          </w:p>
        </w:tc>
        <w:tc>
          <w:tcPr>
            <w:tcW w:type="dxa" w:w="600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改为按关键词命中数择优；全部未命中时对输入文本做稳定散列选取，保证同输入同输出、不同输入不同输出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异常分支写死文案</w:t>
            </w:r>
          </w:p>
        </w:tc>
        <w:tc>
          <w:tcPr>
            <w:tcW w:type="dxa" w:w="600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移除写死分支，统一走语义匹配逻辑</w:t>
            </w:r>
          </w:p>
        </w:tc>
      </w:tr>
      <w:tr>
        <w:tc>
          <w:tcPr>
            <w:tcW w:type="dxa" w:w="3061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keywords 字段泄漏到用户可见文案</w:t>
            </w:r>
          </w:p>
        </w:tc>
        <w:tc>
          <w:tcPr>
            <w:tcW w:type="dxa" w:w="6009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人工修正字段拼装逻辑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修正后验证：23 个场景命中 20 种不同雅言，且 keywords 不再泄漏到展示文案。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3.5 实测证据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本会话实测调用：输入「今天天气很好，我去公园散步」，返回「今日天朗气清，信步芳园」，署名王羲之，释义「天宇澄明，风和日丽，闲步园中，以适幽情」，HTTP 200，为真实模型输出。</w:t>
      </w:r>
    </w:p>
    <w:p>
      <w:r>
        <w:br w:type="page"/>
      </w:r>
    </w:p>
    <w:p>
      <w:pPr>
        <w:spacing w:before="40" w:after="200"/>
        <w:pBdr>
          <w:bottom w:val="single" w:sz="12" w:space="4" w:color="C59B27"/>
        </w:pBdr>
      </w:pPr>
      <w:r>
        <w:rPr>
          <w:rFonts w:ascii="微软雅黑" w:hAnsi="微软雅黑" w:eastAsia="微软雅黑"/>
          <w:b/>
          <w:i w:val="0"/>
          <w:color w:val="8A2B2B"/>
          <w:sz w:val="32"/>
        </w:rPr>
        <w:t>四、代表性环节三：生成式 AI 辅助视觉生产与严格的素材规范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4.1 使用工具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26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工具</w:t>
            </w:r>
          </w:p>
        </w:tc>
        <w:tc>
          <w:tcPr>
            <w:tcW w:type="dxa" w:w="3628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产出物</w:t>
            </w:r>
          </w:p>
        </w:tc>
        <w:tc>
          <w:tcPr>
            <w:tcW w:type="dxa" w:w="3175"/>
            <w:shd w:fill="8A2B2B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对应环节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GPT Image</w:t>
            </w:r>
          </w:p>
        </w:tc>
        <w:tc>
          <w:tcPr>
            <w:tcW w:type="dxa" w:w="36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5 屏界面概念图、1 张背景山水长卷</w:t>
            </w:r>
          </w:p>
        </w:tc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首页视觉方案设计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Midjourney v6</w:t>
            </w:r>
          </w:p>
        </w:tc>
        <w:tc>
          <w:tcPr>
            <w:tcW w:type="dxa" w:w="36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先贤立绘概念草案</w:t>
            </w:r>
          </w:p>
        </w:tc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观藏与书斋插画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Google Stitch</w:t>
            </w:r>
          </w:p>
        </w:tc>
        <w:tc>
          <w:tcPr>
            <w:tcW w:type="dxa" w:w="36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P1~P5 五屏高保真稿</w:t>
            </w:r>
          </w:p>
        </w:tc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界面布局设计</w:t>
            </w:r>
          </w:p>
        </w:tc>
      </w:tr>
      <w:tr>
        <w:tc>
          <w:tcPr>
            <w:tcW w:type="dxa" w:w="226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内置 ImageGen</w:t>
            </w:r>
          </w:p>
        </w:tc>
        <w:tc>
          <w:tcPr>
            <w:tcW w:type="dxa" w:w="3628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7 幅诗人对席意境插画、1 张账号恢复卡插画</w:t>
            </w:r>
          </w:p>
        </w:tc>
        <w:tc>
          <w:tcPr>
            <w:tcW w:type="dxa" w:w="3175"/>
          </w:tcPr>
          <w:p>
            <w:pPr>
              <w:spacing w:line="300" w:lineRule="auto" w:after="20"/>
            </w:pPr>
            <w:r/>
            <w:r>
              <w:rPr>
                <w:rFonts w:ascii="宋体" w:hAnsi="宋体" w:eastAsia="宋体"/>
                <w:b w:val="0"/>
                <w:i w:val="0"/>
                <w:color w:val="2B2B2B"/>
                <w:sz w:val="19"/>
              </w:rPr>
              <w:t>对话页意境与认证页装饰</w:t>
            </w:r>
          </w:p>
        </w:tc>
      </w:tr>
    </w:tbl>
    <w:p/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4.2 团队自设的人工规范（这是本环节最能体现学生主体性的地方）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团队没有放任 AI 生成物直接进入产品，而是先立规则再执行，并写入任务文档：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「严禁让 AI 直接生成图标图片」——理由是被生成的是位图，有毛边底色、高清屏模糊，且无法用 CSS 动态改色（如激活态变朱砂红），会产生廉价贴纸感。全部图标改用矢量图标库。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「不得编造生平、诗句与评价分数」——凡是无法溯源的文史内容与评分，一律置空或标注「待考」，不得由模型臆造后展示给用户。</w:t>
      </w:r>
    </w:p>
    <w:p>
      <w:pPr>
        <w:pStyle w:val="ListNumber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生成素材必须标注为 AI 生成，不得包装为人工绘制。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4.3 人工筛选与二次加工的实际作业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首页视觉：AI 生成候选方案后，人工逐块比对设计稿，完成 7 处偏差修正（左右版式、朱砂标题、朱砂横线激活态、背景整幅铺满等）。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插画裁切：人工核验切图边界，并「用卡片底色覆盖抹除」残留文字与水印。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观藏与书斋：淘汰具有「现代商业仙侠感」「日韩古风」气质的候选图。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Stitch 导出的越界修正：Stitch 自行把 9 个设计令牌扩展为 M3 全套色阶（底色改为 #FCF9F8、出现 50 处纯白），团队从导出 HTML 批量提取色值取证，隔离导出物禁止覆盖仓库规范，并判定其中一屏被裁切错版需重出。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提示词工程：团队发现绘图模型的提示词不能直接喂给界面生成工具，须删除 8k、Figma UI mockup、high resolution 等渲染词；并整理了可复用的修正句库。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4.4 如实申报的边界（引用团队填报原文）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「本次背景只生成一张，不能写成『人工比较多组方案后精选』。」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「不能归为学生使用 Photoshop 手工重绘。」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「不能虚构『人工 85%、AI 15%』。」</w:t>
      </w:r>
    </w:p>
    <w:p>
      <w:pPr>
        <w:spacing w:after="120"/>
        <w:ind w:left="280"/>
      </w:pPr>
      <w:r>
        <w:rPr>
          <w:rFonts w:ascii="宋体" w:hAnsi="宋体" w:eastAsia="宋体"/>
          <w:b w:val="0"/>
          <w:i w:val="0"/>
          <w:color w:val="6B675B"/>
          <w:sz w:val="19"/>
        </w:rPr>
        <w:t>上述三条摘自团队 AI 使用填报记录，是本作品在诚信自律方面最直接的证据：团队主动拒绝了三种常见的夸大表述方式。</w:t>
      </w:r>
    </w:p>
    <w:p>
      <w:r>
        <w:br w:type="page"/>
      </w:r>
    </w:p>
    <w:p>
      <w:pPr>
        <w:spacing w:before="40" w:after="200"/>
        <w:pBdr>
          <w:bottom w:val="single" w:sz="12" w:space="4" w:color="C59B27"/>
        </w:pBdr>
      </w:pPr>
      <w:r>
        <w:rPr>
          <w:rFonts w:ascii="微软雅黑" w:hAnsi="微软雅黑" w:eastAsia="微软雅黑"/>
          <w:b/>
          <w:i w:val="0"/>
          <w:color w:val="8A2B2B"/>
          <w:sz w:val="32"/>
        </w:rPr>
        <w:t>五、边界、失效与未验证事项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5.1 已失效的上游服务（如实披露）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拍照识器所依赖的 Coze 工作流端点 https://r85vf8qf77.coze.site/run 当前返回 404。本会话实测三处端点变体（含根路径与带斜杠形式）均为 404「The page you are looking for does not exist」，判定该工作流部署已失效。后端 Token 配置正常（739 字符）且请求已实际发出，故问题在上游而非本作品代码。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该功能的失败处置经过一次重要修正：早期版本在上游不可用时会返回一条固定的「保温杯 → 宋代执壶」示例充当识别结果，使用户误以为识别成功。团队随后移除了该固定答案，改为按失败原因返回明确错误码与中文提示，并在前端提供重试入口，同时补充了前后端两个测试文件。主干测试实测通过：前端 72 项、后端 63 项，含「服务失败原因被展示且重试可恢复真实结果」等用例。</w:t>
      </w:r>
    </w:p>
    <w:p>
      <w:pPr>
        <w:ind w:firstLine="420"/>
      </w:pPr>
      <w:r>
        <w:rPr>
          <w:rFonts w:ascii="宋体" w:hAnsi="宋体" w:eastAsia="宋体"/>
          <w:b w:val="0"/>
          <w:i w:val="0"/>
          <w:color w:val="2B2B2B"/>
          <w:sz w:val="21"/>
        </w:rPr>
        <w:t>因此该环节当前的真实状态是：链路完整、失败处置诚实、真实识别不可用。作品交付的是工程完整性，而非可用的多模态识别能力。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5.2 未取得证据的事项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模型微调记录：无（作品明确未做权重微调）。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第三方 AI 代理或中转服务：无（前端全部 AI 请求均指向本项目后端）。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Coze 工作流节点 2、3 的具体模型名：未找到证据（工作流手册仅给出 System Prompt，未指名模型）。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界面层可见的 AIGC 生成内容标识：多份填报记录列为「预留」，界面实机尚未确认落地。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git 提交级的逐行归属取证：本次未做 git blame 分析，故本说明不主张任何文件为纯人工手写。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2D5A3F"/>
          <w:sz w:val="26"/>
        </w:rPr>
        <w:t>5.3 安全与隐私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所有 AI 密钥仅存于后端 .env.local，该文件已被 .gitignore 忽略；经全历史检索，密钥未进入版本库。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验证过程使用自签 JWT 与测试对局，验证后已从数据库删除，未修改既有用户数据。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 w:val="0"/>
          <w:i w:val="0"/>
          <w:color w:val="2B2B2B"/>
          <w:sz w:val="21"/>
        </w:rPr>
        <w:t>前端隐私政策已如实披露「语音朗读依赖设备及浏览器提供的语音服务」。</w:t>
      </w:r>
    </w:p>
    <w:p>
      <w:pPr>
        <w:spacing w:after="120"/>
        <w:ind w:left="280"/>
      </w:pPr>
      <w:r>
        <w:rPr>
          <w:rFonts w:ascii="宋体" w:hAnsi="宋体" w:eastAsia="宋体"/>
          <w:b w:val="0"/>
          <w:i w:val="0"/>
          <w:color w:val="6B675B"/>
          <w:sz w:val="19"/>
        </w:rPr>
        <w:t>遗留建议：团队文档中已记录该 DeepSeek Key 曾在会话中出现明文，建议在正式提交前轮换密钥。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