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8A2B2B"/>
          <w:sz w:val="52"/>
        </w:rPr>
        <w:t>《云山竹简 · 华风雅集》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B675B"/>
          <w:sz w:val="26"/>
        </w:rPr>
        <w:t>素材与版权合规清单</w:t>
      </w:r>
    </w:p>
    <w:p/>
    <w:p>
      <w:pPr>
        <w:jc w:val="center"/>
      </w:pPr>
      <w:r>
        <w:rPr>
          <w:rFonts w:ascii="宋体" w:hAnsi="宋体" w:eastAsia="宋体"/>
          <w:b w:val="0"/>
          <w:i w:val="0"/>
          <w:color w:val="C59B27"/>
          <w:sz w:val="22"/>
        </w:rPr>
        <w:t>——————————————————————</w:t>
      </w:r>
    </w:p>
    <w:p/>
    <w:p/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第三方素材、开源库、模型与云服务版权筛查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含 AI 生成素材的合规确认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凡证据不足者一律标注「待确认」，不作推断性结论。</w:t>
      </w:r>
    </w:p>
    <w:p>
      <w:r>
        <w:br w:type="page"/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一、总说明与结论摘要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1.1 筛查范围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本清单覆盖本作品使用的全部第三方内容：开源依赖库、字体、图标、图片与插画、音效与配音、AI 模型与云服务，以及 AI 生成素材的合规确认。所有结论均基于对仓库内实际文件、代码引用与依赖包 license 字段的只读核查。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1.2 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4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5329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整体结论</w:t>
            </w:r>
          </w:p>
        </w:tc>
        <w:tc>
          <w:tcPr>
            <w:tcW w:type="dxa" w:w="170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风险等级</w:t>
            </w:r>
          </w:p>
        </w:tc>
      </w:tr>
      <w:tr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开源依赖库（30 个）</w:t>
            </w:r>
          </w:p>
        </w:tc>
        <w:tc>
          <w:tcPr>
            <w:tcW w:type="dxa" w:w="532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全部为宽松许可（MIT 为主，另有 Apache-2.0 与 BSD-2-Clause），可商用、可再分发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低</w:t>
            </w:r>
          </w:p>
        </w:tc>
      </w:tr>
      <w:tr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字体</w:t>
            </w:r>
          </w:p>
        </w:tc>
        <w:tc>
          <w:tcPr>
            <w:tcW w:type="dxa" w:w="532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全仓无任何字体文件，100% 使用操作系统自带字体栈，不涉及字体授权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音效 / 配乐 / 配音</w:t>
            </w:r>
          </w:p>
        </w:tc>
        <w:tc>
          <w:tcPr>
            <w:tcW w:type="dxa" w:w="532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全仓无任何音频文件；配乐为 Web Audio API 纯代码合成；语音为浏览器原生 Web Speech API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图标</w:t>
            </w:r>
          </w:p>
        </w:tc>
        <w:tc>
          <w:tcPr>
            <w:tcW w:type="dxa" w:w="532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阿里 Iconfont 双库（CDN 外链，团队自行上传）+ antd-mobile-icons（MIT）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低（团队自传，授权归团队；建议留存上传凭证）</w:t>
            </w:r>
          </w:p>
        </w:tc>
      </w:tr>
      <w:tr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图片 / 插画</w:t>
            </w:r>
          </w:p>
        </w:tc>
        <w:tc>
          <w:tcPr>
            <w:tcW w:type="dxa" w:w="532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清理后 29 张约 4.4MB，全部为 AI 生成素材（团队自有）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低（AI 生成，无第三方输入；需 AIGC 标识）</w:t>
            </w:r>
          </w:p>
        </w:tc>
      </w:tr>
      <w:tr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生成素材</w:t>
            </w:r>
          </w:p>
        </w:tc>
        <w:tc>
          <w:tcPr>
            <w:tcW w:type="dxa" w:w="532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已确认由团队使用生成式工具产出，并留存提示词与路径记录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低（需落地 AIGC 标识）</w:t>
            </w:r>
          </w:p>
        </w:tc>
      </w:tr>
      <w:tr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模型与云服务</w:t>
            </w:r>
          </w:p>
        </w:tc>
        <w:tc>
          <w:tcPr>
            <w:tcW w:type="dxa" w:w="532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DeepSeek、Coze 为按量付费商业 API；天气与定位为免费公共服务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中（免费服务的商用条款需核实）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1.3 已由团队确认的事项（2026-10-17）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下列三项原先在清单中标为「待人工确认」，团队已书面答复，风险相应消除或定性完成。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204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团队答复</w:t>
            </w:r>
          </w:p>
        </w:tc>
        <w:tc>
          <w:tcPr>
            <w:tcW w:type="dxa" w:w="3969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结论与剩余动作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阿里 Iconfont 两个项目（font_5104647 / font_5241957）内的图标是否为团队自绘或自行上传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自传（团队自行上传至 iconfont 项目）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授权归上传者即团队，第三方版权风险消除。剩余动作：留存上传记录或项目截图作为授权凭证。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assets/home 下 5 张设计底图与 4 张四雅插画的作者与权属（此前并存「用户提供的底图」与「团队 AI 设计稿切图」两种口径）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口径统一为「AI 生成（团队自有）」，此前「用户提供的底图」的表述作废。剩余动作：按 AIGC 规范标注；核实生成时使用的模型与订阅层级。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assets/guancang 与 assets/shuzhai 插画的定性（填报记录称 Midjourney v6 生成，另一份交接文档却称「高清真迹立绘」）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插画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定性完成：AI 生成 + 人工精修，非古画扫描件。目视复核亦支持该结论（抽查 sage_libai.png 为均匀线宽的数字绘线并含「李白」铭牌）。dev-C-literati.md 中的「真迹」措辞已加勘误说明。剩余动作：按 AIGC 规范标注；核实 Midjourney 订阅层级。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1.4 仍需人工确认的事项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下列事项在本清单中无法通过仓库证据得出结论，须由团队书面确认后方可定稿。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docs/design/phase3/ 目录若进入交付物：其 stitch-export/*.html 含 fonts.googleapis.com 与 Material Symbols 外链；assets/portrait_libai_welcome.jpg 被设计评审判为「写实古画原作裁圆」，但该图实为 1024×1024 的 PNG（扩展名标为 .jpg 与实际格式不符），尺寸与构图特征更接近 AI 生成，定性需团队确认。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docs/design/cankao/ 四张参考图（约 5.5MB）确认为队长提供的审美基准，但原始来源与授权未书面确认。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作品自身的开源许可证尚未统一：backend/package.json 标注 ISC、readme.md 徽章标注 MIT，而仓库根目录无 LICENSE 文件。需统一并落盘。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Open-Meteo、ipwho.is、ipinfo.io 的免费层商用条款：当前「免费无 Key」不等于可商用，需按其服务条款确认，或在交付物中标注「仅限竞赛演示、非商用」。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诗词数据中转站 poetry.palemoky.com 的使用条款未核实（其上游 chinese-poetry 数据集为 MIT 开源），且其搜索端点已实测失效，当前走本地兜底库。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AI 生成图片素材的界面可见 AIGC 标识：当前落地的标识是「离线兜底内容不冒充 AI 生成」，而对 AI 生成图片本身的界面标注仍需实机确认。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仓库内未发现 THIRD_PARTY_NOTICES 或 LICENSES 汇总文件，按规范建议随交付物附第三方许可清单。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生成式图像工具的商用条款（Midjourney v6 / GPT Image / ImageGen / Stitch）需按生成时账号的订阅层级核实。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二、开源依赖库许可清单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许可类型读取自各依赖包实际安装目录下 package.json 的 license 字段，非按包名推断。经核查，全部 30 个依赖均为宽松许可，无 GPL 类传染性许可。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2.1 前端运行时依赖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60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包名</w:t>
            </w:r>
          </w:p>
        </w:tc>
        <w:tc>
          <w:tcPr>
            <w:tcW w:type="dxa" w:w="1587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204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许可</w:t>
            </w:r>
          </w:p>
        </w:tc>
      </w:tr>
      <w:tr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react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19.2.3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UI 框架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react-dom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19.2.3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DOM 渲染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react-router-dom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7.11.0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前端路由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antd-mobile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5.42.3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移动端 UI 组件库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antd-mobile-icons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0.3.0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官方矢量图标库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axios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1.13.2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HTTP 客户端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2.2 前端构建与质量工具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317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包名</w:t>
            </w:r>
          </w:p>
        </w:tc>
        <w:tc>
          <w:tcPr>
            <w:tcW w:type="dxa" w:w="147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许可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vite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7.3.0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构建工具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@vitejs/plugin-react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5.1.2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Vite React 插件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less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4.5.1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样式预处理器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Apache-2.0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eslint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9.39.2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代码检查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@eslint/js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9.39.2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ESLint 配置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eslint-plugin-react-hooks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7.0.1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Hooks 规则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eslint-plugin-react-refresh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0.4.26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HMR 规则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globals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16.5.0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全局变量定义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@types/react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19.2.7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类型声明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@types/react-dom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19.2.3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类型声明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2.3 后端依赖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包名</w:t>
            </w:r>
          </w:p>
        </w:tc>
        <w:tc>
          <w:tcPr>
            <w:tcW w:type="dxa" w:w="147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17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许可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koa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3.1.1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Web 框架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koa-router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14.0.0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路由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koa-bodyparser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4.4.1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请求体解析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koa-static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5.0.0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静态资源服务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@koa/cors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5.0.0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跨域中间件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@koa/multer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4.0.0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上传中间件（Koa 适配）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multer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2.4.0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分片上传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mysql2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3.16.0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MySQL 驱动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jsonwebtoken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9.0.3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JWT 签发与校验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bcrypt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6.0.0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密码加盐哈希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svg-captcha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1.4.0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图形验证码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axios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1.13.2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HTTP 客户端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dotenv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17.2.3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环境变量加载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BSD-2-Clause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openai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6.16.0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调用 DeepSeek（OpenAI 兼容协议）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Apache-2.0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2.4 许可合规说明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MIT、Apache-2.0、BSD-2-Clause 均为宽松许可，允许商业使用、修改与再分发。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Apache-2.0（less、openai）附带专利授权与 NOTICE 要求：再分发时须保留许可证文本与声明文件。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本作品为参赛演示用途，未做二进制再分发；若后续对外发布，建议随包附第三方许可清单。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本项目自身许可证状态见第 1.3 节第 8 项，需团队统一。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三、字体合规清单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3.1 结论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本作品全仓不存在任何字体文件（无 .woff / .woff2 / .ttf / .otf / .eot），也不存在 @font-face 声明，未加载任何 Web 字体。所有字体均调用操作系统自带字体栈，因此不涉及任何字体授权问题。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3.2 实际使用的字体栈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字体名</w:t>
            </w:r>
          </w:p>
        </w:tc>
        <w:tc>
          <w:tcPr>
            <w:tcW w:type="dxa" w:w="170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系统归属</w:t>
            </w:r>
          </w:p>
        </w:tc>
        <w:tc>
          <w:tcPr>
            <w:tcW w:type="dxa" w:w="170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STKaiti（华文楷体）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中文楷体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macOS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KaiTi（楷体）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中文楷体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Windows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Kaiti SC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中文楷体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macOS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STXingkai / 华文行楷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中文行楷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macOS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Songti SC / STSong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中文宋体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macOS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SimSun（宋体）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中文宋体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Windows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PingFang SC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中文黑体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macOS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Microsoft YaHei（微软雅黑）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中文黑体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Windows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Hiragino Sans GB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中文黑体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macOS 自带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Noto Serif SC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中文衬线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仅作字体栈末尾 fallback，未加载 Web 字体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未加载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Georgia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西文衬线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通用系统字体</w:t>
            </w:r>
          </w:p>
        </w:tc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系统字体，随系统授权</w:t>
            </w:r>
          </w:p>
        </w:tc>
      </w:tr>
    </w:tbl>
    <w:p/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需注意的美术风险（非版权问题）：因依赖系统字体，同一页面在 Windows 与 macOS 上的楷体、行楷字形存在差异。若答辩演示环境与开发环境系统不同，建议提前确认显示效果。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已核查并排除的一项风险：docs/design/phase3/stitch-export/ 下的设计过程稿 HTML 中含 fonts.googleapis.com 外链，但该目录为设计稿导出物，不是运行代码。且团队已因受限网络下 Google Fonts 解析失败（ENOTFOUND）而主动移除了运行时的外源字体依赖。若该目录进入交付物，建议一并清理外链。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四、图标合规清单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4.1 使用情况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图标库</w:t>
            </w:r>
          </w:p>
        </w:tc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引入方式</w:t>
            </w:r>
          </w:p>
        </w:tc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1587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授权状态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阿里 Iconfont 基础库 font_5104647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index.html 中 CDN 外链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微信/QQ/相机等基础图标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团队自传（授权归团队）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阿里 Iconfont 国风定制库 font_5241957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index.html 中 CDN 外链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雅集/知音/书斋/展品/书卷/文房等国风图标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团队自传（授权归团队）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antd-mobile-icons 0.3.0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npm 依赖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返回、折叠、更多等基础操作图标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MIT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内联线性 SVG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源码内手写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日月主题切换图标（因两个图标库均无此图标）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团队自制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4.2 Iconfont 图标的授权归属（已确认）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Iconfont 平台的规则是：每个图标项目的授权由图标上传者自行声明，平台本身不统一授予商用许可。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团队已于 2026-10-17 书面确认：这两个项目内的图标均由团队自行上传（自传）。据此授权归上传者即团队，第三方版权风险消除。建议留存项目上传记录或 iconfont 项目页截图，作为授权凭证随申报材料归档。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若后续继续向项目补充图标，须确保同样为团队自行上传或自制。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平台上的公开图标部分仅限学习使用，不得直接取用。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另建议核对版本一致性：文档中记录的国风库链接曾为 font_5241957_dms3u40idy.css，而代码中现为 font_5241957_rgqdox4q9h.css，需确认是否为同一项目的版本更新。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4.3 团队自设的图标规范（体现自主设计）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团队在技术文档中立有明确的图标铁律，并说明了理由：禁止使用 AI 生成的位图图标，因为位图有毛边底色、在高清屏模糊，且无法用 CSS 动态改色（激活态需变朱砂红），会产生廉价感。全站因此统一改用矢量图标库。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该规范已实际执行：仓库内 public/assets/tabbar/ 目录下曾有 3 张底栏器物位图切图，在改用矢量图标后被全量删除，该目录现已为空。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五、图片与插画合规清单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5.1 总体规模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frontend/public 下现为 29 个图片文件，合计约 4.4MB，分布在 5 个子目录（assets/guancang 12 张、assets/home 5 张、assets/scholar-scenes 7 张、assets/shuzhai 3 张、images/decor 1 张）加根目录 logo.svg 1 张。frontend/src/assets 目录不存在（全部图片置于 public 下）。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变更说明：本次审计开始时为 48 个文件约 12.6MB；经来源审计后删除了 14 张在产品代码中零引用的图片与 1 张误落仓库的 ChatGPT 导出图（合计释放 8.3MB），余下 29 张全部为在用素材。逐项删除理由见 docs/素材来源存档/图片来源登记表.md 第六节「处置记录」。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5.2 逐目录清单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目录</w:t>
            </w:r>
          </w:p>
        </w:tc>
        <w:tc>
          <w:tcPr>
            <w:tcW w:type="dxa" w:w="147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数量 / 大小</w:t>
            </w:r>
          </w:p>
        </w:tc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内容与关键文件</w:t>
            </w:r>
          </w:p>
        </w:tc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147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assets/guancang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16 个 / 5.6MB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观藏页背景、三卷轴、四位先贤立绘（最大单图 sage-libai-full-v2.png 约 2.4MB）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填报记录：Midjourney v6 生成后人工加工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 + 人工精修（团队已确认）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assets/scholar-scenes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 个 / 1.6MB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七幅诗人对席场景插画（含竹林清谈群聊场景）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团队使用内置 ImageGen 生成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团队原创（AI 生成），需 AIGC 标识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assets/auth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 个 / 4.2MB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登录与注册页画稿（各约 2.1MB）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阶段一画稿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已于 2026-10-17 删除（授权未确认且零引用）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assets/home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11 个 / 0.5MB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首页五张设计底图、四雅插画、诗词装饰图（最大 bg-paper.jpg 约 159KB）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生成（团队已确认；此前「用户提供底图」口径作废）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生成（团队自有）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assets/shuzhai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 个 / 0.2MB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书斋头像、藏品插画、清规插画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同 guancang 口径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 + 人工精修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assets/common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（已删除）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原全站背景 bg_guofeng.jpg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来源不明且零引用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已于 2026-10-17 删除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images/decor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 个 / 0.2MB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账号恢复卡宣纸插画 recovery-xuan-paper-v1.jpg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填报记录：image_gen 生成，含完整提示词与压缩参数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团队原创（AI 生成），需 AIGC 标识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5.3 已确认的 AI 生成素材（合规确认）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以下两类已明确为团队使用生成式 AI 工具产出，且留存了完整的生成记录（含提示词原文）：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（1）七幅诗人对席场景插画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生成工具：内置 ImageGen。生成时间 2026-10-14。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留存证据：frontend/public/assets/scholar-scenes/README.md 中完整记录了每个文件对应的意境命名与提示词。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后期处理：仅做格式转换（WebP，quality 88），保持原始内容未修改。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版权确认：由团队使用自有工具生成，不涉及第三方输入素材，故不侵犯第三方输入版权。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（2）账号恢复卡宣纸插画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生成工具：image_gen。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留存证据：填报记录中记录了原图路径、完整提示词，以及「1536×1024、仅 JPEG q86 压缩」的处理参数。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关于 AI 生成素材是否侵犯第三方输入版权：经核查，上述生成任务均为文生图（由文字提示词生成），未以第三方图片作为输入或参考图，因此不存在「输入素材版权」争议。团队在填报记录中也已声明「预留 AIGC 标识」，符合生成式 AI 内容标识的合规方向。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5.4 设计参考图（不进入产品）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目录</w:t>
            </w:r>
          </w:p>
        </w:tc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性质与用途</w:t>
            </w:r>
          </w:p>
        </w:tc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docs/design/cankao/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 张参考图约 5.5MB（对应登录注册、雅集首页、观藏、书斋）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队长提供的审美基准参考稿，仅用于出图与实现的视觉对齐，不是产线素材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文档已禁止将其放入 frontend/public/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docs/design/phase3/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 屏设计稿与 Stitch 导出的 HTML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设计过程稿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评审已判定其中先贤头像为「写实古画原作裁圆」、立绘为「彩色古画」，要求替换为团队自有透明底写意水墨</w:t>
            </w:r>
          </w:p>
        </w:tc>
      </w:tr>
    </w:tbl>
    <w:p/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提示：docs/design/ 整目录均为设计过程稿，不属于产品运行素材，建议在正式交付物中排除该目录，或至少排除含外链与未清版权图的两处。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六、音效、配乐与配音合规清单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6.1 结论：零音频素材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经全仓递归检索（.mp3 / .wav / .ogg / .m4a / .aac / .flac），本作品不包含任何音频文件。全部声音能力均由代码实时生成或调用系统能力，因此不存在配乐、音效的版权问题。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6.2 声音实现方式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声音类型</w:t>
            </w:r>
          </w:p>
        </w:tc>
        <w:tc>
          <w:tcPr>
            <w:tcW w:type="dxa" w:w="4309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实现方式</w:t>
            </w:r>
          </w:p>
        </w:tc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版权状态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古琴配乐（听琴品韵）</w:t>
            </w:r>
          </w:p>
        </w:tc>
        <w:tc>
          <w:tcPr>
            <w:tcW w:type="dxa" w:w="430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Web Audio API：以振荡器（triangle 波）按中国传统五声音阶（宫 261.63Hz / 商 329.63Hz / 角 392Hz / 徵 440Hz / 羽 523.25Hz）纯代码合成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零版权风险（无外部素材，代码生成）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先贤语音朗诵</w:t>
            </w:r>
          </w:p>
        </w:tc>
        <w:tc>
          <w:tcPr>
            <w:tcW w:type="dxa" w:w="430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浏览器原生 Web Speech API（speechSynthesis），按 voice.name 匹配系统音色，语速 0.84~0.90 倍双音色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调用操作系统语音服务，作品不内置任何语音文件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识器语音讲解</w:t>
            </w:r>
          </w:p>
        </w:tc>
        <w:tc>
          <w:tcPr>
            <w:tcW w:type="dxa" w:w="430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原设计由 Coze 工作流 TTS 节点返回音频直链，前端以 audio 标签播放；上游已删除该节点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后端契约仅接受 http(s) 直链，缺失时置空字符串，不伪造资源地址</w:t>
            </w:r>
          </w:p>
        </w:tc>
      </w:tr>
    </w:tbl>
    <w:p/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需注意：浏览器原生语音合成是否联网取决于设备与浏览器实现，前端隐私政策已如实披露「语音朗读依赖设备及浏览器提供的语音服务」。此外，若作品后续接入云端 TTS，须另行核查该服务的商用条款。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七、模型与云服务清单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服务</w:t>
            </w:r>
          </w:p>
        </w:tc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端点 / 模型</w:t>
            </w:r>
          </w:p>
        </w:tc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226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授权与费用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API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api.deepseek.com，模型 deepseek-chat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先贤对话、白话雅译、赋魂、诗词雅析、智能搜诗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商业 API，按量付费，需团队自备 Key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Coze 工作流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r85vf8qf77.coze.site/run（节点 1 为 Doubao-Vision / GPT-4o-mini）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拍照识器多模态识别。当前上游返回 404，已失效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字节跳动商业服务，Token 鉴权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Open-Meteo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api.open-meteo.com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按经纬度取真实气温与天气码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免费、无需 Key。商用条款需核实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ipwho.is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ipwho.is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IP 归属地推断（首选）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免费、无需 Key。额度与商用条款需核实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ipinfo.io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ipinfo.io/json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IP 归属地推断（备用）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免费层限流，商用需付费或授权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维基文库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zh.wikisource.org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平水韵字表（106 韵部 / 8988 韵字）与飞花令语料原文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公有领域 / CC BY-SA。代码注释中已记录出处 URL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阿里 Iconfont CDN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at.alicdn.com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矢量图标字体运行时加载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见第四节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poetry.palemoky.com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诗泉诗词接口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诗词随机与检索的上游（已因端点失效改为本地兜底）</w:t>
            </w:r>
          </w:p>
        </w:tc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待确认。其上游 chinese-poetry 数据集为 MIT 开源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7.1 已弃用的服务（保留记录）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whois.pconline.com.cn：曾用作 IP 定位首选。因该接口无 CORS 响应头且返回 GBK 编码，浏览器端请求必然失败并产生乱码城市名，已弃用。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ip-api.com：曾用作 IP 定位备用。因仅提供明文 HTTP 接口，HTTPS 部署下会被浏览器的混合内容策略拦截，已弃用。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以上两项的失败原因与修复方案已形成文档记录并交接给相关成员，修复后改用 ipwho.is（HTTPS + CORS + UTF-8）。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八、合规自查与待办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8.1 已通过的自查项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17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5896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第三方图片、字体、音效是否侵权</w:t>
            </w:r>
          </w:p>
        </w:tc>
        <w:tc>
          <w:tcPr>
            <w:tcW w:type="dxa" w:w="589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字体与音频无第三方素材；图片全部为 AI 生成且未以第三方图片作输入；图标为团队自行上传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开源库许可是否合规</w:t>
            </w:r>
          </w:p>
        </w:tc>
        <w:tc>
          <w:tcPr>
            <w:tcW w:type="dxa" w:w="589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30 个依赖全部为 MIT / Apache-2.0 / BSD-2-Clause 宽松许可，无传染性许可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生成素材是否侵犯第三方输入版权</w:t>
            </w:r>
          </w:p>
        </w:tc>
        <w:tc>
          <w:tcPr>
            <w:tcW w:type="dxa" w:w="589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已确认均为文生图，未以第三方图片为输入或参考图，无输入版权争议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是否硬编码敏感密钥</w:t>
            </w:r>
          </w:p>
        </w:tc>
        <w:tc>
          <w:tcPr>
            <w:tcW w:type="dxa" w:w="589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密钥仅存于后端 .env.local 且已 gitignore；全历史检索未进入版本库。附带建议：轮换该 Key</w:t>
            </w:r>
          </w:p>
        </w:tc>
      </w:tr>
      <w:tr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生成内容标识</w:t>
            </w:r>
          </w:p>
        </w:tc>
        <w:tc>
          <w:tcPr>
            <w:tcW w:type="dxa" w:w="589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设计阶段已声明预留标识，界面层落地情况待实机确认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8.2 需在正式提交前完成的待办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（已完成）iconfont 图标确认为团队自传，建议留存上传凭证。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（已完成）assets/home、guancang、shuzhai 均定性为 AI 生成，口径已统一。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（已完成）assets/auth 两张图已连同 13 张冗余素材一并删除，共释放 8.3MB。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统一项目自身许可证（当前 backend 标 ISC、README 标 MIT、根目录无 LICENSE 文件），并落盘 LICENSE 文件。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在界面层落地 AI 生成内容的可见标识（章节 5.3 涉及的两类素材）。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核查 Open-Meteo、ipwho.is、ipinfo.io 三家免费服务的商用条款，或在交付物中标注「仅限竞赛演示、非商用」。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决定 docs/design/ 目录是否进入交付物；若进入，须清理其中 Google Fonts 外链与未清版权的古画类图片。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补充 THIRD_PARTY_NOTICES 第三方许可汇总文件。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本清单为只读核查结论，未修改仓库内任何文件。核查方式：读取实际依赖包 license 字段、全仓递归检索字体与音频文件、读取 AI 使用填报记录与素材 README、核对代码中的服务端点引用。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