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微软雅黑" w:hAnsi="微软雅黑" w:eastAsia="微软雅黑"/>
          <w:b/>
          <w:i w:val="0"/>
          <w:color w:val="8A2B2B"/>
          <w:sz w:val="52"/>
        </w:rPr>
        <w:t>《云山竹简 · 华风雅集》</w:t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6B675B"/>
          <w:sz w:val="26"/>
        </w:rPr>
        <w:t>人工智能工具使用情况说明</w:t>
      </w:r>
    </w:p>
    <w:p/>
    <w:p>
      <w:pPr>
        <w:jc w:val="center"/>
      </w:pPr>
      <w:r>
        <w:rPr>
          <w:rFonts w:ascii="宋体" w:hAnsi="宋体" w:eastAsia="宋体"/>
          <w:b w:val="0"/>
          <w:i w:val="0"/>
          <w:color w:val="C59B27"/>
          <w:sz w:val="22"/>
        </w:rPr>
        <w:t>——————————————————————</w:t>
      </w:r>
    </w:p>
    <w:p/>
    <w:p/>
    <w:p>
      <w:pPr>
        <w:jc w:val="center"/>
      </w:pPr>
      <w:r>
        <w:rPr>
          <w:rFonts w:ascii="宋体" w:hAnsi="宋体" w:eastAsia="宋体"/>
          <w:b w:val="0"/>
          <w:i w:val="0"/>
          <w:color w:val="2B2B2B"/>
          <w:sz w:val="23"/>
        </w:rPr>
        <w:t>围绕大模型、生成式 AI 与智能辅助工具的实际使用</w:t>
      </w:r>
    </w:p>
    <w:p>
      <w:pPr>
        <w:jc w:val="center"/>
      </w:pPr>
      <w:r>
        <w:rPr>
          <w:rFonts w:ascii="宋体" w:hAnsi="宋体" w:eastAsia="宋体"/>
          <w:b w:val="0"/>
          <w:i w:val="0"/>
          <w:color w:val="2B2B2B"/>
          <w:sz w:val="23"/>
        </w:rPr>
        <w:t>三个代表性环节的完整披露</w:t>
      </w:r>
    </w:p>
    <w:p>
      <w:pPr>
        <w:jc w:val="center"/>
      </w:pPr>
      <w:r>
        <w:rPr>
          <w:rFonts w:ascii="宋体" w:hAnsi="宋体" w:eastAsia="宋体"/>
          <w:b w:val="0"/>
          <w:i w:val="0"/>
          <w:color w:val="2B2B2B"/>
          <w:sz w:val="23"/>
        </w:rPr>
      </w:r>
    </w:p>
    <w:p>
      <w:pPr>
        <w:jc w:val="center"/>
      </w:pPr>
      <w:r>
        <w:rPr>
          <w:rFonts w:ascii="宋体" w:hAnsi="宋体" w:eastAsia="宋体"/>
          <w:b w:val="0"/>
          <w:i w:val="0"/>
          <w:color w:val="2B2B2B"/>
          <w:sz w:val="23"/>
        </w:rPr>
        <w:t>本说明如实区分 AI 产出与人工贡献，</w:t>
      </w:r>
    </w:p>
    <w:p>
      <w:pPr>
        <w:jc w:val="center"/>
      </w:pPr>
      <w:r>
        <w:rPr>
          <w:rFonts w:ascii="宋体" w:hAnsi="宋体" w:eastAsia="宋体"/>
          <w:b w:val="0"/>
          <w:i w:val="0"/>
          <w:color w:val="2B2B2B"/>
          <w:sz w:val="23"/>
        </w:rPr>
        <w:t>对未验证事项不作已完成表述。</w:t>
      </w:r>
    </w:p>
    <w:p>
      <w:r>
        <w:br w:type="page"/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一、总述：用了什么，用在哪里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1.1 两张使用清单（运行时 / 开发期）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本作品的 AI 使用分为性质完全不同的两类，须严格区分：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运行时 AI（进入用户链路，是本作品的产品能力）：由后端调用 DeepSeek 官方 API 与 Coze 工作流，共 2 条真实链路。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开发期 AI（不进入用户链路，是研发工具）：用于代码辅助、UI 出图、文案生成与数据起草。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36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类别</w:t>
            </w:r>
          </w:p>
        </w:tc>
        <w:tc>
          <w:tcPr>
            <w:tcW w:type="dxa" w:w="283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工具 / 模型</w:t>
            </w:r>
          </w:p>
        </w:tc>
        <w:tc>
          <w:tcPr>
            <w:tcW w:type="dxa" w:w="249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使用环节</w:t>
            </w:r>
          </w:p>
        </w:tc>
        <w:tc>
          <w:tcPr>
            <w:tcW w:type="dxa" w:w="351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调用方式</w:t>
            </w:r>
          </w:p>
        </w:tc>
      </w:tr>
      <w:tr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运行时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DeepSeek deepseek-chat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先贤对席对话（含流式）</w:t>
            </w:r>
          </w:p>
        </w:tc>
        <w:tc>
          <w:tcPr>
            <w:tcW w:type="dxa" w:w="351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后端直连官方 API（openai SDK 兼容协议）</w:t>
            </w:r>
          </w:p>
        </w:tc>
      </w:tr>
      <w:tr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运行时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DeepSeek deepseek-chat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AI 一键考释赋魂</w:t>
            </w:r>
          </w:p>
        </w:tc>
        <w:tc>
          <w:tcPr>
            <w:tcW w:type="dxa" w:w="351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后端直连，JSON 结构化输出</w:t>
            </w:r>
          </w:p>
        </w:tc>
      </w:tr>
      <w:tr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运行时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DeepSeek deepseek-chat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白话雅译</w:t>
            </w:r>
          </w:p>
        </w:tc>
        <w:tc>
          <w:tcPr>
            <w:tcW w:type="dxa" w:w="351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后端直连，JSON 结构化输出</w:t>
            </w:r>
          </w:p>
        </w:tc>
      </w:tr>
      <w:tr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运行时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DeepSeek deepseek-chat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古诗词五维雅析</w:t>
            </w:r>
          </w:p>
        </w:tc>
        <w:tc>
          <w:tcPr>
            <w:tcW w:type="dxa" w:w="351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后端直连，本地典范库优先</w:t>
            </w:r>
          </w:p>
        </w:tc>
      </w:tr>
      <w:tr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运行时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DeepSeek deepseek-chat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智能搜诗</w:t>
            </w:r>
          </w:p>
        </w:tc>
        <w:tc>
          <w:tcPr>
            <w:tcW w:type="dxa" w:w="351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后端直连，失败回退本地兜底库</w:t>
            </w:r>
          </w:p>
        </w:tc>
      </w:tr>
      <w:tr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运行时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Coze 工作流（节点 1 为 Doubao-Vision / GPT-4o-mini）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拍照识器多模态识别</w:t>
            </w:r>
          </w:p>
        </w:tc>
        <w:tc>
          <w:tcPr>
            <w:tcW w:type="dxa" w:w="351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后端 HTTP 调用工作流 webhook（当前上游失效，见第五节）</w:t>
            </w:r>
          </w:p>
        </w:tc>
      </w:tr>
      <w:tr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开发期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DeepSeek Harness 编码代理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代码实现、审计脚本、文档起草</w:t>
            </w:r>
          </w:p>
        </w:tc>
        <w:tc>
          <w:tcPr>
            <w:tcW w:type="dxa" w:w="351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会话式编码代理</w:t>
            </w:r>
          </w:p>
        </w:tc>
      </w:tr>
      <w:tr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开发期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OpenAI Codex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认证与账号恢复模块、视觉精修</w:t>
            </w:r>
          </w:p>
        </w:tc>
        <w:tc>
          <w:tcPr>
            <w:tcW w:type="dxa" w:w="351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会话式编码代理</w:t>
            </w:r>
          </w:p>
        </w:tc>
      </w:tr>
      <w:tr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开发期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Antigravity / Gemini 系列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知音生态、全栈业务闭环</w:t>
            </w:r>
          </w:p>
        </w:tc>
        <w:tc>
          <w:tcPr>
            <w:tcW w:type="dxa" w:w="351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会话式编码代理</w:t>
            </w:r>
          </w:p>
        </w:tc>
      </w:tr>
      <w:tr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开发期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GPT Image / Midjourney v6 / Google Stitch / 内置 ImageGen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概念图、立绘、意境插画、账号恢复卡插画</w:t>
            </w:r>
          </w:p>
        </w:tc>
        <w:tc>
          <w:tcPr>
            <w:tcW w:type="dxa" w:w="351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图像生成</w:t>
            </w:r>
          </w:p>
        </w:tc>
      </w:tr>
      <w:tr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开发期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DeepSeek-V3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裁修持四维命名、书斋题名、兜底名篇 JSON</w:t>
            </w:r>
          </w:p>
        </w:tc>
        <w:tc>
          <w:tcPr>
            <w:tcW w:type="dxa" w:w="351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文本生成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1.2 重要事实：这些环节没有使用大模型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为避免夸大 AI 使用范围，以下环节明确不涉及任何大模型，属团队自主实现的确定性算法：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飞花令对战：规则引擎 + 题库（平水韵 106 韵部判定、483 句题库、三级降级选句），运行时零大模型调用。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诗词格律分析：平仄三级优先判定、替对粘核验、五维评分全部由诗作特征推导。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节气与时辰推算：太阳视黄经数学计算。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水墨粒子引擎与山水绘制：Canvas 2D 程序化绘制，非图像生成模型。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古琴配乐：Web Audio API 以振荡器纯代码合成五声音阶（宫商角徵羽），零音频素材。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语音朗诵：浏览器原生 Web Speech API，非服务器 TTS。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1.3 关于模型微调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本作品未对任何基础大模型进行权重微调（Fine-tuning）。所采用的技术路线是「强 System Prompt 上下文工程 + 文史知识注入 + JSON 输出格式约束」。该路线规避了微调带来的知识遗忘风险与算力成本，同时通过角色约束与考据模板，使通用模型能够稳定输出符合要求的半文言语感。</w:t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二、代表性环节一：先贤对席对话的角色赋魂与反出戏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2.1 使用工具与模型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70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项目</w:t>
            </w:r>
          </w:p>
        </w:tc>
        <w:tc>
          <w:tcPr>
            <w:tcW w:type="dxa" w:w="7370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模型</w:t>
            </w:r>
          </w:p>
        </w:tc>
        <w:tc>
          <w:tcPr>
            <w:tcW w:type="dxa" w:w="7370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DeepSeek deepseek-chat（后端统一口径）</w:t>
            </w:r>
          </w:p>
        </w:tc>
      </w:tr>
      <w:tr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接入方式</w:t>
            </w:r>
          </w:p>
        </w:tc>
        <w:tc>
          <w:tcPr>
            <w:tcW w:type="dxa" w:w="7370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后端经 openai SDK 直连 https://api.deepseek.com，密钥置于后端 .env.local（已 gitignore）</w:t>
            </w:r>
          </w:p>
        </w:tc>
      </w:tr>
      <w:tr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调用参数</w:t>
            </w:r>
          </w:p>
        </w:tc>
        <w:tc>
          <w:tcPr>
            <w:tcW w:type="dxa" w:w="7370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流式：stream=true、max_tokens=800；非流式：response_format 指定 json_object</w:t>
            </w:r>
          </w:p>
        </w:tc>
      </w:tr>
      <w:tr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容错</w:t>
            </w:r>
          </w:p>
        </w:tc>
        <w:tc>
          <w:tcPr>
            <w:tcW w:type="dxa" w:w="7370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timeout 25000ms、maxRetries 0（失败即走兜底，不做隐式重试）</w:t>
            </w:r>
          </w:p>
        </w:tc>
      </w:tr>
      <w:tr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所在文件</w:t>
            </w:r>
          </w:p>
        </w:tc>
        <w:tc>
          <w:tcPr>
            <w:tcW w:type="dxa" w:w="7370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backend/src/controllers/deepseekController.js、backend/src/utils/scholarSSE.js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2.2 具体应用环节与用途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用户在「知音」中与李白、苏轼、李清照、王阳明、杜甫、辛弃疾等历史人物对话。模型承担的任务不是回答问题，而是以第一人称、符合该人物语感与价值取向的方式持续对话。这一环节的难点不在「让模型说话」，而在「让模型始终不出戏」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2.3 Prompt 设计与调优（本环节的核心工作）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（1）分层 Prompt 结构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团队没有采用「一句人设」的简单写法，而是设计了分层的 System Prompt：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人物层：每位先贤独立的人设段落，包含身份、性格、语感要求与知识边界。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禁令层：每位先贤的【绝对禁令】段，明确禁止自称 AI、虚拟人或教育助手。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铁律层：统一追加的「完全角色代入」强制规则，对全部先贤生效。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（2）Prompt 原文摘录（李清照人设，摘自后端源码）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0"/>
        </w:rPr>
        <w:t>「你现在就是两宋第一女词人李清照（号易安居士）本人。……【绝对禁令】：绝对坚守李清照真实身份，绝不可自称 AI、虚拟人或教育助手。当对方询问或质疑『你不是李清照吗』『你是机器人吧』时，你必须以易安居士本人口吻正色或浅笑回应（如『妾身正是李易安，与君相晤于云山，足下何出此惊人之语？』），绝不可承认虚妄。」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0"/>
        </w:rPr>
        <w:t>「【绝对不可突破的强制规则：完全角色代入】……即使对方直接问『你不是 XX 吗』或质疑你的身份（如『你是机器人吗』），也必须完全以第一人称本人口吻作答。」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2.4 Prompt 调优的迭代过程（含失败与修正）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36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阶段</w:t>
            </w:r>
          </w:p>
        </w:tc>
        <w:tc>
          <w:tcPr>
            <w:tcW w:type="dxa" w:w="362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现象</w:t>
            </w:r>
          </w:p>
        </w:tc>
        <w:tc>
          <w:tcPr>
            <w:tcW w:type="dxa" w:w="4082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人工介入与修正</w:t>
            </w:r>
          </w:p>
        </w:tc>
      </w:tr>
      <w:tr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初期</w:t>
            </w:r>
          </w:p>
        </w:tc>
        <w:tc>
          <w:tcPr>
            <w:tcW w:type="dxa" w:w="36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模型在对话中自称「专业的教育助手」——这是前一版少儿教育项目残留的 Prompt 未清理干净所致</w:t>
            </w:r>
          </w:p>
        </w:tc>
        <w:tc>
          <w:tcPr>
            <w:tcW w:type="dxa" w:w="4082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团队在任务文档中明确要求「删掉『专业的教育助手』这种少儿旧词」，改为按 sageId 注入真实性格，并逐条核对旧 Prompt 清理情况</w:t>
            </w:r>
          </w:p>
        </w:tc>
      </w:tr>
      <w:tr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中期</w:t>
            </w:r>
          </w:p>
        </w:tc>
        <w:tc>
          <w:tcPr>
            <w:tcW w:type="dxa" w:w="36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即使写了禁令，模型在遭遇攻击性提问时偶发输出元话语（如「我是一个 AI」），沉浸感崩塌</w:t>
            </w:r>
          </w:p>
        </w:tc>
        <w:tc>
          <w:tcPr>
            <w:tcW w:type="dxa" w:w="4082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队长人工发现该问题，并手写 sanitizeSageReply 出戏熔断清洗器：正则拦截元话语后重写为对应先贤的第一人称回应；同时为 7 位名仕各建身份质疑反击池</w:t>
            </w:r>
          </w:p>
        </w:tc>
      </w:tr>
      <w:tr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验证期</w:t>
            </w:r>
          </w:p>
        </w:tc>
        <w:tc>
          <w:tcPr>
            <w:tcW w:type="dxa" w:w="36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自建的验证脚本初版把「先贤否认自己是 AI」误判为出戏，产生假阳性</w:t>
            </w:r>
          </w:p>
        </w:tc>
        <w:tc>
          <w:tcPr>
            <w:tcW w:type="dxa" w:w="4082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人工修正判据：区分「承认自己是 AI」与「以本人口吻否认质疑」，修正后重新验证</w:t>
            </w:r>
          </w:p>
        </w:tc>
      </w:tr>
    </w:tbl>
    <w:p/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2.5 量化验证结果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覆盖 7 位名仕 × 10 类身份质询，共 70 组用例，实测 0 出戏。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反出戏兜底文本共 4 类：熔断改写 7 条、身份质疑反击池 7 位 × 2~3 条、通名应答 7 条、经典对论 7 条。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响应时延实测：李白对话 866ms、自定先贤 1408ms、赋魂 2457ms、雅译 1165ms（早期验收口径为 1.5 秒，部分环节未达标，已如实记录）。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2.6 学生自主完成的部分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Prompt 架构设计：分层结构（人物层 / 禁令层 / 铁律层）由团队设计，非 AI 生成。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出戏熔断清洗器 sanitizeSageReply：由队长人工编写并附代码片段。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身份质疑反击池的逐条文案：由团队人工撰写并审校文言语感。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判据裁定：什么算「出戏」、什么算「化解质疑」，由人工定义；AI 仅按此判据生成验证用例。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SSE 流式工程实现（心跳、背压、客户端断开取消上游）：124 行，由团队在 AI 辅助下完成并调优。</w:t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三、代表性环节二：白话雅译的 Prompt 设计与离线兜底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3.1 使用工具与模型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70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项目</w:t>
            </w:r>
          </w:p>
        </w:tc>
        <w:tc>
          <w:tcPr>
            <w:tcW w:type="dxa" w:w="7370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模型</w:t>
            </w:r>
          </w:p>
        </w:tc>
        <w:tc>
          <w:tcPr>
            <w:tcW w:type="dxa" w:w="7370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DeepSeek deepseek-chat</w:t>
            </w:r>
          </w:p>
        </w:tc>
      </w:tr>
      <w:tr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接入方式</w:t>
            </w:r>
          </w:p>
        </w:tc>
        <w:tc>
          <w:tcPr>
            <w:tcW w:type="dxa" w:w="7370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后端直连，response_format 指定 json_object 以约束结构化输出</w:t>
            </w:r>
          </w:p>
        </w:tc>
      </w:tr>
      <w:tr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所在文件</w:t>
            </w:r>
          </w:p>
        </w:tc>
        <w:tc>
          <w:tcPr>
            <w:tcW w:type="dxa" w:w="7370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backend/src/controllers/deepseekController.js</w:t>
            </w:r>
          </w:p>
        </w:tc>
      </w:tr>
      <w:tr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离线兜底</w:t>
            </w:r>
          </w:p>
        </w:tc>
        <w:tc>
          <w:tcPr>
            <w:tcW w:type="dxa" w:w="7370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同文件内的白话雅译离线典范库（20 条）+ 语义匹配选择器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3.2 具体应用环节与用途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用户在雅集首页输入现代白话，系统输出典雅名句、出处作者与释义。这是本作品的文化爆点功能，也是演示中最容易出效果的环节。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3.3 Prompt 内容与人工调优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System Prompt 原文：「你是一位精通千古诗词与训诂学的文学院士。将用户的现代白话转译为中国古典诗词中的意境名句或对仗雅言。请严格输出 JSON 格式：{ "ancient": …, "author": …, "explanation": … }」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人工调优体现在三点：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角色设定由「翻译器」改为「文学院士」——后者能自然产出对仗与用典，前者倾向于直译。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强制 JSON 输出格式，并在后端校验字段，避免模型返回自由文本导致前端渲染失败。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释义字段要求给出可读的现代解释，而不是再一次文言，保证普通用户能理解。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3.4 人工发现并修正的问题：兜底库「永远返回同一句」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团队在自查中发现离线兜底的实现缺陷：原逻辑为「按关键词匹配，未命中则取数组第一条」，且异常分支写死了同一句文案。后果是所有未命中的输入都会得到完全相同的输出，表现为「AI 似乎只会说这一句」。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306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问题</w:t>
            </w:r>
          </w:p>
        </w:tc>
        <w:tc>
          <w:tcPr>
            <w:tcW w:type="dxa" w:w="6009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人工修正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离线库仅 4 条，覆盖不足</w:t>
            </w:r>
          </w:p>
        </w:tc>
        <w:tc>
          <w:tcPr>
            <w:tcW w:type="dxa" w:w="600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扩充到 20 条，逐条人工审校文言与释义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未命中恒返回第一条</w:t>
            </w:r>
          </w:p>
        </w:tc>
        <w:tc>
          <w:tcPr>
            <w:tcW w:type="dxa" w:w="600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改为按关键词命中数择优；全部未命中时对输入文本做稳定散列选取，保证同输入同输出、不同输入不同输出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异常分支写死文案</w:t>
            </w:r>
          </w:p>
        </w:tc>
        <w:tc>
          <w:tcPr>
            <w:tcW w:type="dxa" w:w="600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移除写死分支，统一走语义匹配逻辑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keywords 字段泄漏到用户可见文案</w:t>
            </w:r>
          </w:p>
        </w:tc>
        <w:tc>
          <w:tcPr>
            <w:tcW w:type="dxa" w:w="600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人工修正字段拼装逻辑</w:t>
            </w:r>
          </w:p>
        </w:tc>
      </w:tr>
    </w:tbl>
    <w:p/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修正后验证：23 个场景命中 20 种不同雅言，且 keywords 不再泄漏到展示文案。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3.5 实测证据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本会话实测调用：输入「今天天气很好，我去公园散步」，返回「今日天朗气清，信步芳园」，署名王羲之，释义「天宇澄明，风和日丽，闲步园中，以适幽情」，HTTP 200，为真实模型输出。</w:t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四、代表性环节三：生成式 AI 辅助视觉生产与严格的素材规范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4.1 使用工具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26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工具</w:t>
            </w:r>
          </w:p>
        </w:tc>
        <w:tc>
          <w:tcPr>
            <w:tcW w:type="dxa" w:w="362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产出物</w:t>
            </w:r>
          </w:p>
        </w:tc>
        <w:tc>
          <w:tcPr>
            <w:tcW w:type="dxa" w:w="317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对应环节</w:t>
            </w:r>
          </w:p>
        </w:tc>
      </w:tr>
      <w:tr>
        <w:tc>
          <w:tcPr>
            <w:tcW w:type="dxa" w:w="226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GPT Image</w:t>
            </w:r>
          </w:p>
        </w:tc>
        <w:tc>
          <w:tcPr>
            <w:tcW w:type="dxa" w:w="36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5 屏界面概念图、1 张背景山水长卷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首页视觉方案设计</w:t>
            </w:r>
          </w:p>
        </w:tc>
      </w:tr>
      <w:tr>
        <w:tc>
          <w:tcPr>
            <w:tcW w:type="dxa" w:w="226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Midjourney v6</w:t>
            </w:r>
          </w:p>
        </w:tc>
        <w:tc>
          <w:tcPr>
            <w:tcW w:type="dxa" w:w="36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先贤立绘概念草案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观藏与书斋插画</w:t>
            </w:r>
          </w:p>
        </w:tc>
      </w:tr>
      <w:tr>
        <w:tc>
          <w:tcPr>
            <w:tcW w:type="dxa" w:w="226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Google Stitch</w:t>
            </w:r>
          </w:p>
        </w:tc>
        <w:tc>
          <w:tcPr>
            <w:tcW w:type="dxa" w:w="36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P1~P5 五屏高保真稿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界面布局设计</w:t>
            </w:r>
          </w:p>
        </w:tc>
      </w:tr>
      <w:tr>
        <w:tc>
          <w:tcPr>
            <w:tcW w:type="dxa" w:w="226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内置 ImageGen</w:t>
            </w:r>
          </w:p>
        </w:tc>
        <w:tc>
          <w:tcPr>
            <w:tcW w:type="dxa" w:w="36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7 幅诗人对席意境插画、1 张账号恢复卡插画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对话页意境与认证页装饰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4.2 团队自设的人工规范（这是本环节最能体现学生主体性的地方）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团队没有放任 AI 生成物直接进入产品，而是先立规则再执行，并写入任务文档：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「严禁让 AI 直接生成图标图片」——理由是被生成的是位图，有毛边底色、高清屏模糊，且无法用 CSS 动态改色（如激活态变朱砂红），会产生廉价贴纸感。全部图标改用矢量图标库。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「不得编造生平、诗句与评价分数」——凡是无法溯源的文史内容与评分，一律置空或标注「待考」，不得由模型臆造后展示给用户。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生成素材必须标注为 AI 生成，不得包装为人工绘制。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4.3 人工筛选与二次加工的实际作业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首页视觉：AI 生成候选方案后，人工逐块比对设计稿，完成 7 处偏差修正（左右版式、朱砂标题、朱砂横线激活态、背景整幅铺满等）。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插画裁切：人工核验切图边界，并「用卡片底色覆盖抹除」残留文字与水印。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观藏与书斋：淘汰具有「现代商业仙侠感」「日韩古风」气质的候选图。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Stitch 导出的越界修正：Stitch 自行把 9 个设计令牌扩展为 M3 全套色阶（底色改为 #FCF9F8、出现 50 处纯白），团队从导出 HTML 批量提取色值取证，隔离导出物禁止覆盖仓库规范，并判定其中一屏被裁切错版需重出。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提示词工程：团队发现绘图模型的提示词不能直接喂给界面生成工具，须删除 8k、Figma UI mockup、high resolution 等渲染词；并整理了可复用的修正句库。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4.4 如实申报的边界（引用团队填报原文）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「本次背景只生成一张，不能写成『人工比较多组方案后精选』。」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「不能归为学生使用 Photoshop 手工重绘。」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「不能虚构『人工 85%、AI 15%』。」</w:t>
      </w:r>
    </w:p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上述三条摘自团队 AI 使用填报记录，是本作品在诚信自律方面最直接的证据：团队主动拒绝了三种常见的夸大表述方式。</w:t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五、边界、失效与未验证事项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5.1 已失效的上游服务（如实披露）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拍照识器所依赖的 Coze 工作流端点 https://r85vf8qf77.coze.site/run 当前返回 404。本会话实测三处端点变体（含根路径与带斜杠形式）均为 404「The page you are looking for does not exist」，判定该工作流部署已失效。后端 Token 配置正常（739 字符）且请求已实际发出，故问题在上游而非本作品代码。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该功能的失败处置经过一次重要修正：早期版本在上游不可用时会返回一条固定的「保温杯 → 宋代执壶」示例充当识别结果，使用户误以为识别成功。团队随后移除了该固定答案，改为按失败原因返回明确错误码与中文提示，并在前端提供重试入口，同时补充了前后端两个测试文件。主干测试实测通过：前端 72 项、后端 63 项，含「服务失败原因被展示且重试可恢复真实结果」等用例。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因此该环节当前的真实状态是：链路完整、失败处置诚实、真实识别不可用。作品交付的是工程完整性，而非可用的多模态识别能力。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5.2 未取得证据的事项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模型微调记录：无（作品明确未做权重微调）。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第三方 AI 代理或中转服务：无（前端全部 AI 请求均指向本项目后端）。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Coze 工作流节点 2、3 的具体模型名：未找到证据（工作流手册仅给出 System Prompt，未指名模型）。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界面层可见的 AIGC 生成内容标识：多份填报记录列为「预留」，界面实机尚未确认落地。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git 提交级的逐行归属取证：本次未做 git blame 分析，故本说明不主张任何文件为纯人工手写。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5.3 安全与隐私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所有 AI 密钥仅存于后端 .env.local，该文件已被 .gitignore 忽略；经全历史检索，密钥未进入版本库。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验证过程使用自签 JWT 与测试对局，验证后已从数据库删除，未修改既有用户数据。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前端隐私政策已如实披露「语音朗读依赖设备及浏览器提供的语音服务」。</w:t>
      </w:r>
    </w:p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遗留建议：团队文档中已记录该 DeepSeek Key 曾在会话中出现明文，建议在正式提交前轮换密钥。</w:t>
      </w:r>
    </w:p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