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C666B7">
      <w:pPr>
        <w:pStyle w:val="2"/>
        <w:keepNext w:val="0"/>
        <w:keepLines w:val="0"/>
        <w:widowControl/>
        <w:suppressLineNumbers w:val="0"/>
      </w:pPr>
      <w:r>
        <w:t>《Learning Modified Indicator Functions for Surface Reconstruction》全文中文翻译</w:t>
      </w:r>
    </w:p>
    <w:p w14:paraId="2D669135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说明</w:t>
      </w:r>
      <w:r>
        <w:rPr>
          <w:rFonts w:hint="eastAsia" w:ascii="宋体" w:hAnsi="宋体" w:eastAsia="宋体" w:cs="宋体"/>
          <w:sz w:val="24"/>
          <w:szCs w:val="24"/>
        </w:rPr>
        <w:t>：我无法直接生成并返回PDF文件，你可以把下面全部翻译文本复制粘贴到Word/WPS中，另存导出为PDF。 arXiv预印本原版PDF地址：</w:t>
      </w: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HYPERLINK "https://arxiv.org/pdf/2111.09526v2.pdf"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Style w:val="11"/>
          <w:rFonts w:hint="eastAsia" w:ascii="宋体" w:hAnsi="宋体" w:eastAsia="宋体" w:cs="宋体"/>
          <w:sz w:val="24"/>
          <w:szCs w:val="24"/>
        </w:rPr>
        <w:t>https://arxiv.org/pdf/2111.09526v2.pdf</w:t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</w:p>
    <w:p w14:paraId="768B7F67">
      <w:pPr>
        <w:pStyle w:val="3"/>
        <w:keepNext w:val="0"/>
        <w:keepLines w:val="0"/>
        <w:widowControl/>
        <w:suppressLineNumbers w:val="0"/>
      </w:pPr>
      <w:r>
        <w:t>标题：学习改进指示函数用于表面重建</w:t>
      </w:r>
    </w:p>
    <w:p w14:paraId="61952C3B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作者</w:t>
      </w:r>
      <w:r>
        <w:t>：肖东，林思友，石左强*，王斌* （a清华大学软件学院，中国北京；b清华大学数学科学系，中国北京；c北京国家信息科学与技术研究中心，中国北京；d北京雁栖湖应用数学研究院，中国北京）</w:t>
      </w:r>
    </w:p>
    <w:p w14:paraId="0FC10C83">
      <w:pPr>
        <w:pStyle w:val="4"/>
        <w:keepNext w:val="0"/>
        <w:keepLines w:val="0"/>
        <w:widowControl/>
        <w:suppressLineNumbers w:val="0"/>
      </w:pPr>
      <w:r>
        <w:t>文章信息</w:t>
      </w:r>
    </w:p>
    <w:p w14:paraId="6EAA814B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摘要</w:t>
      </w:r>
      <w:r>
        <w:t xml:space="preserve"> 表面重建是三维图形学中的基础研究问题。本文提出一种基于学习的隐式曲面重建方法，输入为无法向量的原始点云。该方法受势能理论中的高斯引理启发，高斯引理给出了指示函数的显式积分表达式。本文设计一种新型深度神经网络完成曲面积分运算，从无方向、含噪声的点云中学习改进指示函数。网络拼接多尺度特征，得到积分运算中精确的逐点贡献。此外，本文提出全新的</w:t>
      </w:r>
      <w:r>
        <w:rPr>
          <w:rStyle w:val="9"/>
        </w:rPr>
        <w:t>曲面基元特征提取器（Surface Element Feature Extractor）</w:t>
      </w:r>
      <w:r>
        <w:t>，用于学习物体局部形状属性。实验结果表明：针对不同噪声等级的点云，该方法能够生成法向一致性高的光滑曲面；对比现有数据驱动与非数据驱动方法，本文重建效果达到当前最优水平。 源代码：</w:t>
      </w:r>
      <w:r>
        <w:fldChar w:fldCharType="begin"/>
      </w:r>
      <w:r>
        <w:instrText xml:space="preserve"> HYPERLINK "https://github.com/Submanifold/LMIRecon" </w:instrText>
      </w:r>
      <w:r>
        <w:fldChar w:fldCharType="separate"/>
      </w:r>
      <w:r>
        <w:rPr>
          <w:rStyle w:val="11"/>
        </w:rPr>
        <w:t>https://github.com/Submanifold/LMIRecon</w:t>
      </w:r>
      <w:r>
        <w:fldChar w:fldCharType="end"/>
      </w:r>
    </w:p>
    <w:p w14:paraId="4A4A7F5D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关键词</w:t>
      </w:r>
      <w:r>
        <w:t>：表面重建；无方向点云；高斯引理；深度学习</w:t>
      </w:r>
    </w:p>
    <w:p w14:paraId="5EF34373">
      <w:pPr>
        <w:pStyle w:val="6"/>
        <w:keepNext w:val="0"/>
        <w:keepLines w:val="0"/>
        <w:widowControl/>
        <w:suppressLineNumbers w:val="0"/>
      </w:pPr>
      <w:r>
        <w:t>arXiv:2111.09526v2 [cs.CV] 2022</w:t>
      </w:r>
      <w:r>
        <w:noBreakHyphen/>
      </w:r>
      <w:r>
        <w:t>02</w:t>
      </w:r>
      <w:r>
        <w:noBreakHyphen/>
      </w:r>
      <w:r>
        <w:t>20 ©2022 本文手稿版本遵循 CC</w:t>
      </w:r>
      <w:r>
        <w:noBreakHyphen/>
      </w:r>
      <w:r>
        <w:t>BY</w:t>
      </w:r>
      <w:r>
        <w:noBreakHyphen/>
      </w:r>
      <w:r>
        <w:t>NC</w:t>
      </w:r>
      <w:r>
        <w:noBreakHyphen/>
      </w:r>
      <w:r>
        <w:t>ND 4.0开源协议</w:t>
      </w:r>
    </w:p>
    <w:p w14:paraId="4B9820DE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70D91D">
      <w:pPr>
        <w:pStyle w:val="3"/>
        <w:keepNext w:val="0"/>
        <w:keepLines w:val="0"/>
        <w:widowControl/>
        <w:suppressLineNumbers w:val="0"/>
      </w:pPr>
      <w:r>
        <w:t>1 引言</w:t>
      </w:r>
    </w:p>
    <w:p w14:paraId="61E835EC">
      <w:pPr>
        <w:pStyle w:val="6"/>
        <w:keepNext w:val="0"/>
        <w:keepLines w:val="0"/>
        <w:widowControl/>
        <w:suppressLineNumbers w:val="0"/>
      </w:pPr>
      <w:r>
        <w:t>得益于广阔的实际应用场景，表面重建问题已经被研究三十余年。许多经典非数据驱动隐式算法，在输入具备全局一致定向法向量的条件下，可以生成高保真曲面</w:t>
      </w:r>
      <w:r>
        <w:noBreakHyphen/>
      </w:r>
      <w:r>
        <w:t>。但是，从原始点云中获取精准定向的法向量并非易事。除此之外，非数据驱动算法一般不具备区分噪声的机制。因此，当扫描噪声较大，或是逐点法向估计存在误差时，重建性能会显著下降。</w:t>
      </w:r>
    </w:p>
    <w:p w14:paraId="2DFD1148">
      <w:pPr>
        <w:pStyle w:val="6"/>
        <w:keepNext w:val="0"/>
        <w:keepLines w:val="0"/>
        <w:widowControl/>
        <w:suppressLineNumbers w:val="0"/>
      </w:pPr>
      <w:r>
        <w:t>近年来，深度学习逐步被应用到越来越多三维几何问题中，包括点云分类、分割、法向估计以及表面重建等任务</w:t>
      </w:r>
      <w:r>
        <w:noBreakHyphen/>
      </w:r>
      <w:r>
        <w:t>。已有研究证明深度神经网络可以很好地表征隐式函数，也诞生了若干面向隐式表示的数据驱动重建算法,</w:t>
      </w:r>
      <w:r>
        <w:noBreakHyphen/>
      </w:r>
      <w:r>
        <w:t>。但其中多数方法受数据集限制，只适配特定物体类别，泛化能力较差。从拓扑复杂、任意无方向点云中重建高质量曲面，依旧是极具挑战性的难题。</w:t>
      </w:r>
    </w:p>
    <w:p w14:paraId="64DF796E">
      <w:pPr>
        <w:pStyle w:val="6"/>
        <w:keepNext w:val="0"/>
        <w:keepLines w:val="0"/>
        <w:widowControl/>
        <w:suppressLineNumbers w:val="0"/>
      </w:pPr>
      <w:r>
        <w:t>Points2Surf是代表性的优秀工作，可以直接对无法向量的任意点云估计隐式函数。该方法通过局部面片学习绝对距离，依靠全局采样获取符号信息；泛化能力较好，可以适配不同等级噪声。但观察重建细节能够发现：它生成的曲面容易出现波纹凸起，法向一致性有所损失。</w:t>
      </w:r>
    </w:p>
    <w:p w14:paraId="7200DAA4">
      <w:pPr>
        <w:pStyle w:val="6"/>
        <w:keepNext w:val="0"/>
        <w:keepLines w:val="0"/>
        <w:widowControl/>
        <w:suppressLineNumbers w:val="0"/>
      </w:pPr>
      <w:r>
        <w:t>受势能理论高斯引理启发</w:t>
      </w:r>
      <w:r>
        <w:noBreakHyphen/>
      </w:r>
      <w:r>
        <w:t>，本文提出直接从原始点云学习改进指示函数的算法。高斯引理表明，选取合适核函数后，指示函数值可以写成显式曲面积分形式。GR算法是基于高斯引理的经典重建方法，干净输入下能够输出高质量曲面，并且一定程度上避免对噪声采样点过拟合。但该算法需要全局一致的定向法向量，重建效果高度依赖法向量精度，尤其是方向一致性。如图2所示：采样干净、法向量准确时GR可以输出高质量曲面；一旦法向估计存在偏差，重建效果会大幅劣化。与之对比，本文方法直接使用原始点云就可以输出光滑、一致性好的重建结果。图1对比了本文算法与代表性数据驱动、非数据驱动算法，可以看到，在原始含噪声输入下，本文方法的法向一致性更优异。</w:t>
      </w:r>
    </w:p>
    <w:p w14:paraId="72A1AE90">
      <w:pPr>
        <w:pStyle w:val="6"/>
        <w:keepNext w:val="0"/>
        <w:keepLines w:val="0"/>
        <w:widowControl/>
        <w:suppressLineNumbers w:val="0"/>
      </w:pPr>
      <w:r>
        <w:t>如果仿照GR的传统方式求解高斯引理的曲面积分，曲面附近会遇到严重的奇异点问题，也就是被积函数趋于无穷大，往往需要复杂的细化近似处理。即便如此，噪声与错误法向量依旧会破坏重建结果。为此，本文利用神经网络强大的学习能力，设计新型</w:t>
      </w:r>
      <w:r>
        <w:rPr>
          <w:rStyle w:val="9"/>
        </w:rPr>
        <w:t>曲面基元特征提取器（SEF提取器）</w:t>
      </w:r>
      <w:r>
        <w:t>，聚合局部形状特征，实现奇异区域的高精度计算。 利用神经网络完成全局曲面积分是全新问题，本文通过在网络中聚合逐点贡献实现该计算。为得到精准的逐点信息，网络拼接从局部到全局隐空间的多尺度特征；指示函数预测结果由全部逐点输出求和得到。该机制能够监督全局隐向量，将潜在误差分摊到各个采样点，最终得到鲁棒且光滑的重建曲面。</w:t>
      </w:r>
    </w:p>
    <w:p w14:paraId="54DBB5EA">
      <w:pPr>
        <w:pStyle w:val="6"/>
        <w:keepNext w:val="0"/>
        <w:keepLines w:val="0"/>
        <w:widowControl/>
        <w:suppressLineNumbers w:val="0"/>
      </w:pPr>
      <w:r>
        <w:t>本文在多组数据集开展充分实验，测试不同噪声等级、采样密度与缺陷工况。实验证明：针对无方向点云重建任务，本文算法优于现有数据驱动与非数据驱动方法，在法向一致性指标上优势尤为突出。</w:t>
      </w:r>
    </w:p>
    <w:p w14:paraId="77AFCF7C">
      <w:pPr>
        <w:pStyle w:val="3"/>
        <w:keepNext w:val="0"/>
        <w:keepLines w:val="0"/>
        <w:widowControl/>
        <w:suppressLineNumbers w:val="0"/>
      </w:pPr>
      <w:r>
        <w:t>2 相关工作</w:t>
      </w:r>
    </w:p>
    <w:p w14:paraId="3884DE40">
      <w:pPr>
        <w:pStyle w:val="6"/>
        <w:keepNext w:val="0"/>
        <w:keepLines w:val="0"/>
        <w:widowControl/>
        <w:suppressLineNumbers w:val="0"/>
      </w:pPr>
      <w:r>
        <w:t>基于点云的表面重建是计算机图形学领域研究十分广泛的课题，已有大量优秀算法。本节重点梳理和本文高度相关、基于隐式表示的数据驱动与非数据驱动重建方法。</w:t>
      </w:r>
    </w:p>
    <w:p w14:paraId="5D976064">
      <w:pPr>
        <w:pStyle w:val="4"/>
        <w:keepNext w:val="0"/>
        <w:keepLines w:val="0"/>
        <w:widowControl/>
        <w:suppressLineNumbers w:val="0"/>
      </w:pPr>
      <w:r>
        <w:t>2.1 隐式表示</w:t>
      </w:r>
    </w:p>
    <w:p w14:paraId="14313B68">
      <w:pPr>
        <w:pStyle w:val="6"/>
        <w:keepNext w:val="0"/>
        <w:keepLines w:val="0"/>
        <w:widowControl/>
        <w:suppressLineNumbers w:val="0"/>
      </w:pPr>
      <w:r>
        <w:t>隐式函数 (f:\mathbb R^3 \to \mathbb R^3) 定义在三维欧氏空间，曲面可表示为隐式函数的等值面。该函数既可以存储在体网格、八叉树结构上，也可以由神经网络进行编码,。常用隐式函数包含指示函数,,、带符号距离函数,,。传统指示函数在曲面外部取值0，内部取值1，因此在曲面位置不连续。为了解决该问题，Kazhdan等人对法向量场施加光滑滤波处理,；Lu等人利用改进高斯公式，在曲面附近构造相对光滑的函数。和上述传统方案不同，本文直接使用神经网络学习性质优良的改进指示函数。</w:t>
      </w:r>
    </w:p>
    <w:p w14:paraId="45E95300">
      <w:pPr>
        <w:pStyle w:val="4"/>
        <w:keepNext w:val="0"/>
        <w:keepLines w:val="0"/>
        <w:widowControl/>
        <w:suppressLineNumbers w:val="0"/>
      </w:pPr>
      <w:r>
        <w:t>2.2 非数据驱动重建</w:t>
      </w:r>
    </w:p>
    <w:p w14:paraId="7ECE9C9F">
      <w:pPr>
        <w:pStyle w:val="6"/>
        <w:keepNext w:val="0"/>
        <w:keepLines w:val="0"/>
        <w:widowControl/>
        <w:suppressLineNumbers w:val="0"/>
      </w:pPr>
      <w:r>
        <w:t>非数据驱动表面重建已有三十余年研究历史。这类算法通常需要方向一致的法向量或者内外侧信息，而原始点云很难直接获取这些信息。代表性算法为泊松表面重建（Poisson Surface Reconstruction）,</w:t>
      </w:r>
      <w:r>
        <w:noBreakHyphen/>
      </w:r>
      <w:r>
        <w:t>：构建泊松方程求解指示函数，使其梯度逼近输入向量场。Calakli等人采用优化方法逼近曲面光滑带符号距离函数；Fuhrmann等人给每个点分配紧支集基函数，通过基函数求和构造隐式函数。 GR算法同样基于高斯引理，属于非数据驱动方法，通过改进核函数的曲面积分求解查询点的指示函数值。VIPSS是近年提出的经典无需法向量重建算法，在稀疏、草图式采样条件下效果较好，但时间复杂度和点数量的三次方成正比；即使仅两三万个点，完整重建也可能耗费数天时间。</w:t>
      </w:r>
    </w:p>
    <w:p w14:paraId="6450A7C4">
      <w:pPr>
        <w:pStyle w:val="4"/>
        <w:keepNext w:val="0"/>
        <w:keepLines w:val="0"/>
        <w:widowControl/>
        <w:suppressLineNumbers w:val="0"/>
      </w:pPr>
      <w:r>
        <w:t>2.3 数据驱动重建</w:t>
      </w:r>
    </w:p>
    <w:p w14:paraId="3E563B7B">
      <w:pPr>
        <w:pStyle w:val="6"/>
        <w:keepNext w:val="0"/>
        <w:keepLines w:val="0"/>
        <w:widowControl/>
        <w:suppressLineNumbers w:val="0"/>
      </w:pPr>
      <w:r>
        <w:t>随着深度学习在三维几何领域快速发展，研究者越来越多地关注数据驱动方案。Mescheder等人把三维曲面隐式表达为神经网络分类器的连续决策边界；Peng等人结合卷积网络与隐式表示改进该思路。DeepSDF学习形状隐空间，将完整物体编码为单个隐向量，由隐向量回归连续带符号距离函数，但该算法高度依赖训练数据集，泛化重建能力不足。Chabra等人利用局部形状隐向量，把复杂物体拆解为多个简单局部，但丢失全局信息，无法推理物体整体的隐描述。Atzmon、Zhao等人提出符号无关学习重建算法：网络权重合理初始化后，迫使网络拟合无符号函数的带符号版本，但每个新形状都需要重新初始化网络训练</w:t>
      </w:r>
      <w:r>
        <w:noBreakHyphen/>
      </w:r>
      <w:r>
        <w:t>。 Points2Surf是和本文最相关的工作：依靠局部面片学习绝对距离，全局采样获取物体内外信息，但法向一致性表现一般，重建曲面容易产生波纹凸起。</w:t>
      </w:r>
    </w:p>
    <w:p w14:paraId="6157EF67">
      <w:pPr>
        <w:pStyle w:val="3"/>
        <w:keepNext w:val="0"/>
        <w:keepLines w:val="0"/>
        <w:widowControl/>
        <w:suppressLineNumbers w:val="0"/>
      </w:pPr>
      <w:r>
        <w:t>3 预备知识</w:t>
      </w:r>
    </w:p>
    <w:p w14:paraId="33C12ECA">
      <w:pPr>
        <w:pStyle w:val="6"/>
        <w:keepNext w:val="0"/>
        <w:keepLines w:val="0"/>
        <w:widowControl/>
        <w:suppressLineNumbers w:val="0"/>
      </w:pPr>
      <w:r>
        <w:t>本文网络主要基于势能理论中的高斯引理进行设计</w:t>
      </w:r>
      <w:r>
        <w:noBreakHyphen/>
      </w:r>
      <w:r>
        <w:t>。本节介绍高斯引理，同时说明如何改造传统指示函数，提升训练效果。</w:t>
      </w:r>
    </w:p>
    <w:p w14:paraId="133F2A80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高斯引理</w:t>
      </w:r>
      <w:r>
        <w:t>：设 (\Omega) 是三维欧氏空间内，边界光滑的有界开集。对任意查询点 (x\in \mathbb R^3)，边界点 (y\in \partial \Omega)，定义 (\chi(x)) 为边界 (\partial\Omega) 的曲面积分： [ \chi (x)=\int _{\partial \Omega }\frac {\partial G}{\partial \vec {N}(y)}(x,y)dS(y) ] 式中，(\vec N(y)) 代表y点处朝外单位法向量；(dS(y)) 是曲面面元；(G) 为三维拉普拉斯方程的基本解： [ G(x, y)=-\frac{1}{4 \pi| x-y| } ] 积分结果 (\chi(x)) 正好对应指示函数： [ \chi (x)= \begin{cases} 0 &amp;{x\in \mathbb {R}^{3} \backslash \overline {\Omega }}\ \frac {1}{2} &amp; x \in \partial \Omega \ 1 &amp; x \in \Omega \end{cases} ] 公式(1)中的方向导数展开为： [ \frac{\partial G}{\partial \vec{N}(y)}(x, y)=-\frac{1}{4 \pi} \frac{(x-y) \cdot \vec{N}(y)}{| x-y| ^{3}} ]</w:t>
      </w:r>
    </w:p>
    <w:p w14:paraId="4DD3F18C">
      <w:pPr>
        <w:pStyle w:val="6"/>
        <w:keepNext w:val="0"/>
        <w:keepLines w:val="0"/>
        <w:widowControl/>
        <w:suppressLineNumbers w:val="0"/>
      </w:pPr>
      <w:r>
        <w:t>上述原始指示函数是不连续的。因此本文对指示函数做修改，在曲面邻域做光滑处理。理想改造后函数满足：曲面附近呈线性变化；远离曲面位置保留0</w:t>
      </w:r>
      <w:r>
        <w:noBreakHyphen/>
      </w:r>
      <w:r>
        <w:t>1阶跃特性。改进指示函数 (\tilde\chi(x)) 定义： [ \tilde{\chi}(x)= \begin{cases} 0 &amp; d(x, \Omega)&lt;-w \ \frac{1}{2}+\frac{d(x, \Omega)}{2 w} &amp; |d(x, \Omega)| \leq w \ 1 &amp; d(x, \Omega)&gt;w \end{cases} ] (d(x,\Omega)) 代表点x到集合(\Omega)的带符号距离（内部为正，外部为负）；(w)为固定小宽度系数。本文将 (\tilde\chi(x)) 作为网络学习的目标函数。</w:t>
      </w:r>
    </w:p>
    <w:p w14:paraId="3AA6218C">
      <w:pPr>
        <w:pStyle w:val="3"/>
        <w:keepNext w:val="0"/>
        <w:keepLines w:val="0"/>
        <w:widowControl/>
        <w:suppressLineNumbers w:val="0"/>
      </w:pPr>
      <w:r>
        <w:t>4 方法</w:t>
      </w:r>
    </w:p>
    <w:p w14:paraId="6A003F5F">
      <w:pPr>
        <w:pStyle w:val="4"/>
        <w:keepNext w:val="0"/>
        <w:keepLines w:val="0"/>
        <w:widowControl/>
        <w:suppressLineNumbers w:val="0"/>
      </w:pPr>
      <w:r>
        <w:t>4.1 方法动机</w:t>
      </w:r>
    </w:p>
    <w:p w14:paraId="599638D5">
      <w:pPr>
        <w:pStyle w:val="6"/>
        <w:keepNext w:val="0"/>
        <w:keepLines w:val="0"/>
        <w:widowControl/>
        <w:suppressLineNumbers w:val="0"/>
      </w:pPr>
      <w:r>
        <w:t>给定三维点云集合 (P={p_1,p_2,\dots,p_n})，任务目标是重建一个封闭水密曲面 (S) 描述该点云的外形。需要训练网络，使其能够对任意形状点云预测改进指示函数 (\tilde\chi_S(x))。</w:t>
      </w:r>
    </w:p>
    <w:p w14:paraId="19433266">
      <w:pPr>
        <w:pStyle w:val="6"/>
        <w:keepNext w:val="0"/>
        <w:keepLines w:val="0"/>
        <w:widowControl/>
        <w:suppressLineNumbers w:val="0"/>
      </w:pPr>
      <w:r>
        <w:t>高斯引理说明：对于查询点 (x\in\mathbb R^3)，指示函数取值可直接由曲面积分计算。当查询点在曲面附近由物体内部移动到外部，指示函数从1跳变至0，该变化主要来自查询点邻近曲面部分的贡献。如果用颜色区分积分正负贡献，可以观察到：查询点由内向外移动时，邻近曲面的贡献会由正转负，这是指示函数发生变化的根源。由此可见，</w:t>
      </w:r>
      <w:r>
        <w:rPr>
          <w:rStyle w:val="9"/>
        </w:rPr>
        <w:t>局部曲面属性对最终结果起主导作用</w:t>
      </w:r>
      <w:r>
        <w:t>，因此需要在查询点周围进行稠密采样。</w:t>
      </w:r>
    </w:p>
    <w:p w14:paraId="10C737CE">
      <w:pPr>
        <w:pStyle w:val="6"/>
        <w:keepNext w:val="0"/>
        <w:keepLines w:val="0"/>
        <w:widowControl/>
        <w:suppressLineNumbers w:val="0"/>
      </w:pPr>
      <w:r>
        <w:t>本文借鉴Points2Surf的采样策略：对每个查询点 (x)，从原始点云P中采样局部面片集合 (p_x^d) 和全局子采样集合 (p_x^s)。</w:t>
      </w:r>
    </w:p>
    <w:p w14:paraId="2FB0251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局部面片集合 (p_x^d)：取距离查询点x最近的 (n_d) 个邻点（实验中设置 (n_d=200)）；</w:t>
      </w:r>
    </w:p>
    <w:p w14:paraId="144F6F2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全局子采样集合 (p_x^s)：从全部点云均匀采样 (n_s) 个点（实验中 (n_s=1000)）。</w:t>
      </w:r>
    </w:p>
    <w:p w14:paraId="1C92144A">
      <w:pPr>
        <w:pStyle w:val="6"/>
        <w:keepNext w:val="0"/>
        <w:keepLines w:val="0"/>
        <w:widowControl/>
        <w:suppressLineNumbers w:val="0"/>
      </w:pPr>
      <w:r>
        <w:t>所有采样点以查询点x做坐标中心化，因此不需要把查询点坐标显式输入网络。模型可写为函数 (f_\theta: \mathbb R^{3n_d} \times \mathbb R^{3n_s} \to \mathbb R)。训练网络参数(\theta)，输入采样集合 (p_x^d,p_x^s)，输出尽可能逼近改进指示函数 (\tilde\chi_S(x))。</w:t>
      </w:r>
    </w:p>
    <w:p w14:paraId="22BAA691">
      <w:pPr>
        <w:pStyle w:val="6"/>
        <w:keepNext w:val="0"/>
        <w:keepLines w:val="0"/>
        <w:widowControl/>
        <w:suppressLineNumbers w:val="0"/>
      </w:pPr>
      <w:r>
        <w:t>令 (y={y_i}</w:t>
      </w:r>
      <w:r>
        <w:rPr>
          <w:rStyle w:val="10"/>
        </w:rPr>
        <w:t>{i=1}^N) 为曲面采样点云，把高斯引理的曲面积分改写为离散逐点求和形式： [ \chi(x)=\sum</w:t>
      </w:r>
      <w:r>
        <w:t>{i=1}^{N}-\frac{1}{4 \pi} \frac{\left(x-y_{i}\right)}{\left| x-y_{i}\right| ^{3}} \cdot \vec{N}\left(y_{i}\right) \cdot \sigma\left(y_{i}\right) ] 公式中第一项仅和查询点x、采样点 (y_i) 相关，可以由点特征表达；第三项近似曲面面元，依赖局部几何属性，需要依靠近邻点学习局部特征；第二项对应法向量，无符号法向估计仅需要局部信息，但法向符号判定必须借助全局信息。因此网络学习一个全局隐向量对整个物体形状做编码汇总；聚合从局部到全局多尺度特征，获取精准逐点贡献，以此在神经网络内部隐式实现高斯引理。</w:t>
      </w:r>
    </w:p>
    <w:p w14:paraId="46EE36ED">
      <w:pPr>
        <w:pStyle w:val="4"/>
        <w:keepNext w:val="0"/>
        <w:keepLines w:val="0"/>
        <w:widowControl/>
        <w:suppressLineNumbers w:val="0"/>
      </w:pPr>
      <w:r>
        <w:t>4.2 网络整体架构</w:t>
      </w:r>
    </w:p>
    <w:p w14:paraId="7D5F661E">
      <w:pPr>
        <w:pStyle w:val="6"/>
        <w:keepNext w:val="0"/>
        <w:keepLines w:val="0"/>
        <w:widowControl/>
        <w:suppressLineNumbers w:val="0"/>
      </w:pPr>
      <w:r>
        <w:t>网络整体结构见图4。横向分为两条并行分支：面片特征分支、形状特征分支。</w:t>
      </w:r>
    </w:p>
    <w:p w14:paraId="3414297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形状特征分支</w:t>
      </w:r>
      <w:r>
        <w:t>：输入全局子采样点，学习物体整体形状属性，对指示函数做粗略估计；</w:t>
      </w:r>
    </w:p>
    <w:p w14:paraId="699FF4D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面片特征分支</w:t>
      </w:r>
      <w:r>
        <w:t>：输入局部面片采样点，提取局部信息，用于高精度指示函数预测。</w:t>
      </w:r>
    </w:p>
    <w:p w14:paraId="0A1C4949">
      <w:pPr>
        <w:pStyle w:val="6"/>
        <w:keepNext w:val="0"/>
        <w:keepLines w:val="0"/>
        <w:widowControl/>
        <w:suppressLineNumbers w:val="0"/>
      </w:pPr>
      <w:r>
        <w:t>纵向分为三大模块，依次执行：</w:t>
      </w:r>
      <w:r>
        <w:rPr>
          <w:rStyle w:val="9"/>
        </w:rPr>
        <w:t>点与局部特征模块、全局特征模块、指示函数预测模块</w:t>
      </w:r>
      <w:r>
        <w:t>。</w:t>
      </w:r>
    </w:p>
    <w:p w14:paraId="6AB159F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点与局部特征模块</w:t>
      </w:r>
      <w:r>
        <w:t>：学习每个点的局部几何属性；本文提出SEF曲面基元特征提取器，聚合采样集合中点自身特征与其k近邻特征，通过小型对称网络得到局部属性。该提取器对应高斯引理当中的曲面面元 (dS(y)) 和法向量 (\vec N(y))。详见4.3节。</w:t>
      </w:r>
    </w:p>
    <w:p w14:paraId="56B60E6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全局特征模块</w:t>
      </w:r>
      <w:r>
        <w:t>：计算全局隐向量，详见4.4节。</w:t>
      </w:r>
    </w:p>
    <w:p w14:paraId="18A9ACB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指示函数预测模块</w:t>
      </w:r>
      <w:r>
        <w:t>：拼接多尺度特征，网络内部通过逐点贡献求和实现曲面积分运算，输出最终预测结果，详见4.5节。</w:t>
      </w:r>
    </w:p>
    <w:p w14:paraId="43031172">
      <w:pPr>
        <w:pStyle w:val="4"/>
        <w:keepNext w:val="0"/>
        <w:keepLines w:val="0"/>
        <w:widowControl/>
        <w:suppressLineNumbers w:val="0"/>
      </w:pPr>
      <w:r>
        <w:t>4.3 点与局部特征模块</w:t>
      </w:r>
    </w:p>
    <w:p w14:paraId="36AC22F6">
      <w:pPr>
        <w:pStyle w:val="6"/>
        <w:keepNext w:val="0"/>
        <w:keepLines w:val="0"/>
        <w:widowControl/>
        <w:suppressLineNumbers w:val="0"/>
      </w:pPr>
      <w:r>
        <w:t>本模块目标是提取点特征与局部特征，尤其要得到查询点周边点的精细局部几何信息。全部子采样点以查询点中心化，指示函数预测结果具备坐标原点旋转不变性。因此首先对点集使用空间变换网络STN做空间对齐；利用多层感知机MLP输出64维点特征。</w:t>
      </w:r>
    </w:p>
    <w:p w14:paraId="687AD6F8">
      <w:pPr>
        <w:pStyle w:val="6"/>
        <w:keepNext w:val="0"/>
        <w:keepLines w:val="0"/>
        <w:widowControl/>
        <w:suppressLineNumbers w:val="0"/>
      </w:pPr>
      <w:r>
        <w:t>单纯点特征不足以表达局部属性，局部信息包含形状细节、采样密度、局部噪声幅值，只有获取这些信息，网络才能学习法向量与曲面面元。为此本文提出</w:t>
      </w:r>
      <w:r>
        <w:rPr>
          <w:rStyle w:val="9"/>
        </w:rPr>
        <w:t>SEF曲面基元特征提取器</w:t>
      </w:r>
      <w:r>
        <w:t>，名字来源于高斯引理的曲面面元 (dS(y))。</w:t>
      </w:r>
    </w:p>
    <w:p w14:paraId="7B056B97">
      <w:pPr>
        <w:pStyle w:val="6"/>
        <w:keepNext w:val="0"/>
        <w:keepLines w:val="0"/>
        <w:widowControl/>
        <w:suppressLineNumbers w:val="0"/>
      </w:pPr>
      <w:r>
        <w:t>SEF提取器核心思路：依靠空间k近邻(KNN)学习局部形状。对每个点，拼接该点自身特征，以及采样集合内它的k近邻点特征，送入由多层感知机MLP+对称最大池化构成的小型对称网络，输出该点64维局部特征；之后拼接原始64维点特征，输出128维融合向量，该向量包含完备局部信息。</w:t>
      </w:r>
    </w:p>
    <w:p w14:paraId="2910281D">
      <w:pPr>
        <w:pStyle w:val="6"/>
        <w:keepNext w:val="0"/>
        <w:keepLines w:val="0"/>
        <w:widowControl/>
        <w:suppressLineNumbers w:val="0"/>
      </w:pPr>
      <w:r>
        <w:t>由高斯引理公式可以看到：查询点x距离y越远，导数项衰减越快；对指示函数预测起主要贡献的是局部面片分支，因此仅在面片特征分支使用SEF提取器。MLP权重在全部 (n_d) 个点之间参数共享。</w:t>
      </w:r>
    </w:p>
    <w:p w14:paraId="2B486568">
      <w:pPr>
        <w:pStyle w:val="6"/>
        <w:keepNext w:val="0"/>
        <w:keepLines w:val="0"/>
        <w:widowControl/>
        <w:suppressLineNumbers w:val="0"/>
      </w:pPr>
      <w:r>
        <w:t>工程实现上，网络前向、反向传播过程中反复查找k近邻会带来巨大时间开销。但SEF提取器MLP参数全部点共享，因此可以在送入网络前直接拼接近邻点坐标，替代训练中动态查找。每次采样只需在kd</w:t>
      </w:r>
      <w:r>
        <w:noBreakHyphen/>
      </w:r>
      <w:r>
        <w:t>树上执行 (n_d) 次近邻检索；检索运算可以和网络传播并行执行，不会引入过多额外耗时。完整训练耗时约为Points2Surf的1.3倍。全部实验取近邻数 (k=10)，消融实验见5.3节。</w:t>
      </w:r>
    </w:p>
    <w:p w14:paraId="6E06D3C0">
      <w:pPr>
        <w:pStyle w:val="4"/>
        <w:keepNext w:val="0"/>
        <w:keepLines w:val="0"/>
        <w:widowControl/>
        <w:suppressLineNumbers w:val="0"/>
      </w:pPr>
      <w:r>
        <w:t>4.4 全局特征模块</w:t>
      </w:r>
    </w:p>
    <w:p w14:paraId="338DC830">
      <w:pPr>
        <w:pStyle w:val="6"/>
        <w:keepNext w:val="0"/>
        <w:keepLines w:val="0"/>
        <w:widowControl/>
        <w:suppressLineNumbers w:val="0"/>
      </w:pPr>
      <w:r>
        <w:t>本模块学习物体形状的全局隐式描述。借鉴PointNet思路，使用最大池化聚合点特征，分别得到1024维面片特征与形状特征，拼接得到2048维全局特征；再经过若干全连接层计算全局隐向量；面片分支、形状分支的全连接层参数相互独立。后续会将全局隐向量和局部特征拼接，用于计算精准逐点贡献与指示函数预测。</w:t>
      </w:r>
    </w:p>
    <w:p w14:paraId="373ED37B">
      <w:pPr>
        <w:pStyle w:val="6"/>
        <w:keepNext w:val="0"/>
        <w:keepLines w:val="0"/>
        <w:widowControl/>
        <w:suppressLineNumbers w:val="0"/>
      </w:pPr>
      <w:r>
        <w:t>高斯引理需要朝外法向量，全局隐向量承担判断物体内外、法向方向的任务。PointNet相关研究表明，全局隐向量会依靠一组关键节点对物体整体做概括编码，这正好解释为什么全局隐向量可以判断法向朝向、指示函数符号。该“形状整体概括”思想也出现在部分传统几何算法中，例如Huang等人构造稀疏均匀点集用于法向定向与点云规整化处理。</w:t>
      </w:r>
    </w:p>
    <w:p w14:paraId="0C56A38A">
      <w:pPr>
        <w:pStyle w:val="4"/>
        <w:keepNext w:val="0"/>
        <w:keepLines w:val="0"/>
        <w:widowControl/>
        <w:suppressLineNumbers w:val="0"/>
      </w:pPr>
      <w:r>
        <w:t>4.5 指示函数预测模块</w:t>
      </w:r>
    </w:p>
    <w:p w14:paraId="1AF0DC0D">
      <w:pPr>
        <w:pStyle w:val="6"/>
        <w:keepNext w:val="0"/>
        <w:keepLines w:val="0"/>
        <w:widowControl/>
        <w:suppressLineNumbers w:val="0"/>
      </w:pPr>
      <w:r>
        <w:t>该模块内，对每个点拼接从局部到全局隐空间的多尺度特征。</w:t>
      </w:r>
    </w:p>
    <w:p w14:paraId="760CC23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面片特征分支</w:t>
      </w:r>
      <w:r>
        <w:t>：拼接64维点特征、64维局部特征、1024维全局隐向量；融合局部细节、采样密度、噪声等级、朝向信息，为高精度逐点贡献计算提供充足信息。</w:t>
      </w:r>
    </w:p>
    <w:p w14:paraId="56A6089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形状特征分支</w:t>
      </w:r>
      <w:r>
        <w:t>：仅拼接点特征与全局隐向量，输出指示函数粗略估计。</w:t>
      </w:r>
    </w:p>
    <w:p w14:paraId="62E08A77">
      <w:pPr>
        <w:pStyle w:val="6"/>
        <w:keepNext w:val="0"/>
        <w:keepLines w:val="0"/>
        <w:widowControl/>
        <w:suppressLineNumbers w:val="0"/>
      </w:pPr>
      <w:r>
        <w:t>神经网络通过聚合逐点贡献完成曲面积分运算；面片分支对粗略结果进一步优化修正。之后使用多层全连接层融合两条分支输出，得到最终预测。</w:t>
      </w:r>
    </w:p>
    <w:p w14:paraId="0D4BBB46">
      <w:pPr>
        <w:pStyle w:val="6"/>
        <w:keepNext w:val="0"/>
        <w:keepLines w:val="0"/>
        <w:widowControl/>
        <w:suppressLineNumbers w:val="0"/>
      </w:pPr>
      <w:r>
        <w:t>Points2Surf直接由隐码预测查询点带符号距离；本文复用全局隐向量获取精准逐点信息，反过来依靠逐点朝向监督全局隐向量学习，同时把潜在误差分摊到各个采样点，使输出曲面光滑，法向一致性更好。本文提出的SEF提取器同样有助于噪声区分。</w:t>
      </w:r>
    </w:p>
    <w:p w14:paraId="4A6D8B46">
      <w:pPr>
        <w:pStyle w:val="6"/>
        <w:keepNext w:val="0"/>
        <w:keepLines w:val="0"/>
        <w:widowControl/>
        <w:suppressLineNumbers w:val="0"/>
      </w:pPr>
      <w:r>
        <w:t>网络整体端到端训练，损失函数采用L2回归，目标即公式(5)的改进指示函数 (\tilde\chi(x))，简单有效。推理阶段对改进指示函数使用移动立方体算法(Marching Cubes)提取等值面，得到三角网格曲面</w:t>
      </w:r>
      <w:r>
        <w:noBreakHyphen/>
      </w:r>
      <w:r>
        <w:t>。</w:t>
      </w:r>
    </w:p>
    <w:p w14:paraId="5633C634">
      <w:pPr>
        <w:pStyle w:val="3"/>
        <w:keepNext w:val="0"/>
        <w:keepLines w:val="0"/>
        <w:widowControl/>
        <w:suppressLineNumbers w:val="0"/>
      </w:pPr>
      <w:r>
        <w:t>5 实验</w:t>
      </w:r>
    </w:p>
    <w:p w14:paraId="5D16720C">
      <w:pPr>
        <w:pStyle w:val="4"/>
        <w:keepNext w:val="0"/>
        <w:keepLines w:val="0"/>
        <w:widowControl/>
        <w:suppressLineNumbers w:val="0"/>
      </w:pPr>
      <w:r>
        <w:t>5.1 实验总览</w:t>
      </w:r>
    </w:p>
    <w:p w14:paraId="4F5A8012">
      <w:pPr>
        <w:pStyle w:val="6"/>
        <w:keepNext w:val="0"/>
        <w:keepLines w:val="0"/>
        <w:widowControl/>
        <w:suppressLineNumbers w:val="0"/>
      </w:pPr>
      <w:r>
        <w:t>本文在多套数据集、多种噪声等级下开展大量实验，从重建精度、几何细节、泛化能力多个维度验证算法有效性，同时测试算法处理缺陷、极稀疏采样的性能。</w:t>
      </w:r>
    </w:p>
    <w:p w14:paraId="549D663B">
      <w:pPr>
        <w:pStyle w:val="5"/>
        <w:keepNext w:val="0"/>
        <w:keepLines w:val="0"/>
        <w:widowControl/>
        <w:suppressLineNumbers w:val="0"/>
      </w:pPr>
      <w:r>
        <w:t>数据集</w:t>
      </w:r>
    </w:p>
    <w:p w14:paraId="75A6B54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ABC数据集</w:t>
      </w:r>
      <w:r>
        <w:t>：面向几何深度学习的大规模CAD模型集合，模型质量高、法向准确；本文用于训练与测试评估。</w:t>
      </w:r>
    </w:p>
    <w:p w14:paraId="17B5380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Famous数据集</w:t>
      </w:r>
      <w:r>
        <w:t>：包含22个经典几何处理模型，例如斯坦福兔子、犹他茶壶，仅用于测试，不参与训练，用来评估算法泛化性能。</w:t>
      </w:r>
    </w:p>
    <w:p w14:paraId="677B8AA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ThreeDScans数据集</w:t>
      </w:r>
      <w:r>
        <w:t>：高质量真实雕塑扫描模型集合，用于测试复杂拓扑物体重建能力，仅用于测试集。</w:t>
      </w:r>
    </w:p>
    <w:p w14:paraId="26A0ED9E">
      <w:pPr>
        <w:pStyle w:val="5"/>
        <w:keepNext w:val="0"/>
        <w:keepLines w:val="0"/>
        <w:widowControl/>
        <w:suppressLineNumbers w:val="0"/>
      </w:pPr>
      <w:r>
        <w:t>对比基线算法</w:t>
      </w:r>
    </w:p>
    <w:p w14:paraId="2AAFD6C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SPR（Screened Poisson Surface Reconstruction， screened泊松重建）</w:t>
      </w:r>
      <w:r>
        <w:t>：非数据驱动重建领域的标杆算法，输入需要定向法向量。本文使用抗噪的多尺度PCPNet直接从原始点云估计法向量作为SPR输入,。</w:t>
      </w:r>
    </w:p>
    <w:p w14:paraId="03C28AA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GR</w:t>
      </w:r>
      <w:r>
        <w:t>：基于改进高斯公式的非数据驱动重建算法，同样需要全局一致定向法向量作为输入。</w:t>
      </w:r>
    </w:p>
    <w:p w14:paraId="0A46CDE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CON（Convolutional Occupancy Networks，卷积占据网络）</w:t>
      </w:r>
      <w:r>
        <w:t>：基于学习的重建算法，结合卷积编码器与隐式占据解码器，可以直接从无法向量原始点云学习占据场。</w:t>
      </w:r>
    </w:p>
    <w:p w14:paraId="0FF002B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Points2Surf(P2S)</w:t>
      </w:r>
      <w:r>
        <w:t>：代表性通用数据驱动重建算法，不局限特定类别物体；结合局部面片与全局采样，直接对无法向量点云学习带符号距离函数，作为核心对比基线。</w:t>
      </w:r>
    </w:p>
    <w:p w14:paraId="450A0B65">
      <w:pPr>
        <w:pStyle w:val="5"/>
        <w:keepNext w:val="0"/>
        <w:keepLines w:val="0"/>
        <w:widowControl/>
        <w:suppressLineNumbers w:val="0"/>
      </w:pPr>
      <w:r>
        <w:t>评价指标</w:t>
      </w:r>
    </w:p>
    <w:p w14:paraId="2C651E2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双向倒角距离CD</w:t>
      </w:r>
      <w:r>
        <w:t xml:space="preserve">：网格重建任务常用指标，对两套稠密采样点集合，相互计算最近邻距离再求和。 [ CD(A, B)=\frac{1}{|A|} \sum_{p_{i} \in A} min </w:t>
      </w:r>
      <w:r>
        <w:rPr>
          <w:rStyle w:val="10"/>
        </w:rPr>
        <w:t>{p</w:t>
      </w:r>
      <w:r>
        <w:t xml:space="preserve">{j} \in B}| p_{i}-p_{j}| </w:t>
      </w:r>
      <w:r>
        <w:rPr>
          <w:rStyle w:val="10"/>
        </w:rPr>
        <w:t>{2}+\frac{1}{|B|} \sum</w:t>
      </w:r>
      <w:r>
        <w:t xml:space="preserve">{p_{j} \in B} min </w:t>
      </w:r>
      <w:r>
        <w:rPr>
          <w:rStyle w:val="10"/>
        </w:rPr>
        <w:t>{p</w:t>
      </w:r>
      <w:r>
        <w:t>{i} \in A}| p_{j}-p_{i}| _{2} ]</w:t>
      </w:r>
    </w:p>
    <w:p w14:paraId="36B846C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法向一致性误差NCE</w:t>
      </w:r>
      <w:r>
        <w:t>：倒角距离无法衡量网格法向光滑程度。计算重建网格和真值网格之间的法向一致性误差。法向一致性是真值采样点法向量，与重建网格最近面片法向量的平均余弦相似度；NCE定义为1减去法向一致性。 [ NCE(A, GT)=1-\frac{1}{|GT|} \sum_{\left(p_{i}, n_{i}\right) \in GT}\left|n_{i} \cdot n_{j}\right| ] (n_j) 是重建网格A上距离 (p_i) 最近面片的法向量。</w:t>
      </w:r>
    </w:p>
    <w:p w14:paraId="5169A322">
      <w:pPr>
        <w:pStyle w:val="5"/>
        <w:keepNext w:val="0"/>
        <w:keepLines w:val="0"/>
        <w:widowControl/>
        <w:suppressLineNumbers w:val="0"/>
      </w:pPr>
      <w:r>
        <w:t>数据预处理</w:t>
      </w:r>
    </w:p>
    <w:p w14:paraId="0F3536A2">
      <w:pPr>
        <w:pStyle w:val="6"/>
        <w:keepNext w:val="0"/>
        <w:keepLines w:val="0"/>
        <w:widowControl/>
        <w:suppressLineNumbers w:val="0"/>
      </w:pPr>
      <w:r>
        <w:t>ABC数据集随机选取7495个水密网格做训练集，100个模型做测试集。丰富多样的训练形状对全局特征学习至关重要。所有网格归一化，物体最长边缩放至1.0；在物体表面随机采样20000</w:t>
      </w:r>
      <w:r>
        <w:noBreakHyphen/>
      </w:r>
      <w:r>
        <w:t>80000个点，采样密度可以按需调整。</w:t>
      </w:r>
    </w:p>
    <w:p w14:paraId="12DA55AE">
      <w:pPr>
        <w:pStyle w:val="6"/>
        <w:keepNext w:val="0"/>
        <w:keepLines w:val="0"/>
        <w:widowControl/>
        <w:suppressLineNumbers w:val="0"/>
      </w:pPr>
      <w:r>
        <w:t>为保证模型同时适配多种噪声，并且干净采样下也输出光滑网格：训练数据中10%模型保持无噪声；其余模型随机设置噪声占比 (\alpha_P)，即该物体有 (\alpha_P) 比例点添加噪声，(1-\alpha_P) 点保持干净。每个模型随机选取噪声幅值范围 ([0.02,0.04])，对噪声点添加高斯噪声（幅值(\beta)代表点高斯噪声最大值(\beta)，标准差 (\beta/3)）。</w:t>
      </w:r>
    </w:p>
    <w:p w14:paraId="0C471ADB">
      <w:pPr>
        <w:pStyle w:val="6"/>
        <w:keepNext w:val="0"/>
        <w:keepLines w:val="0"/>
        <w:widowControl/>
        <w:suppressLineNumbers w:val="0"/>
      </w:pPr>
      <w:r>
        <w:t>每个模型在曲面附近随机采样800个查询点，单位立方体内部采样200个查询点，合计1000组训练样本 ((p_x^d,p_x^s))；全部训练样本总量最高可达700万。使用trimesh库计算带符号距离函数SDF，代入公式(5)得到真值改进指示函数。网格分辨率设置256，公式(5)宽度系数w取网格尺寸的4倍。</w:t>
      </w:r>
    </w:p>
    <w:p w14:paraId="2216FA27">
      <w:pPr>
        <w:pStyle w:val="4"/>
        <w:keepNext w:val="0"/>
        <w:keepLines w:val="0"/>
        <w:widowControl/>
        <w:suppressLineNumbers w:val="0"/>
      </w:pPr>
      <w:r>
        <w:t>5.2 实验结果</w:t>
      </w:r>
    </w:p>
    <w:p w14:paraId="79833CCB">
      <w:pPr>
        <w:pStyle w:val="6"/>
        <w:keepNext w:val="0"/>
        <w:keepLines w:val="0"/>
        <w:widowControl/>
        <w:suppressLineNumbers w:val="0"/>
      </w:pPr>
      <w:r>
        <w:t>在ABC测试集、Famous测试集上将本文算法和前述SOTA数据驱动、非数据驱动算法对比。为公平对比Points2Surf，采用完全一致训练测试数据，使用其最优均匀子采样方案；在4张Tesla V100 SXM2 GPU服务器上训练，直到两套网络完全收敛，本文对比结果优于直接使用作者开源预训练模型。CON网络在ABC数据集上使用默认参数重新训练；在Famous数据集上直接使用其ShapeNet预训练权重。传统SPR、GR算法统一使用PCPNet估计法向量作为输入。无噪声版本全部采样干净；可变噪声版本每个模型随机设置噪声占比与幅值，添加逐点高斯噪声。</w:t>
      </w:r>
    </w:p>
    <w:p w14:paraId="24B47298">
      <w:pPr>
        <w:pStyle w:val="6"/>
        <w:keepNext w:val="0"/>
        <w:keepLines w:val="0"/>
        <w:widowControl/>
        <w:suppressLineNumbers w:val="0"/>
      </w:pPr>
      <w:r>
        <w:t>定量结果如表1、表2，CD数值全部乘以100便于阅读。本文定义</w:t>
      </w:r>
      <w:r>
        <w:rPr>
          <w:rStyle w:val="9"/>
        </w:rPr>
        <w:t>最优一致性占比BCR</w:t>
      </w:r>
      <w:r>
        <w:t>：数据集内该算法取得最优NCE指标的样本占比，用来衡量法向一致性的整体优势。例如ABC可变噪声数据集本文BCR=80%，代表100个测试模型中80个模型本文法向一致性最优。</w:t>
      </w:r>
    </w:p>
    <w:p w14:paraId="35F7B545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表1 ABC测试集定量对比</w:t>
      </w:r>
    </w:p>
    <w:tbl>
      <w:tblPr>
        <w:tblW w:w="0" w:type="auto"/>
        <w:tblCellSpacing w:w="15" w:type="dxa"/>
        <w:tblInd w:w="7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1206"/>
        <w:gridCol w:w="660"/>
        <w:gridCol w:w="420"/>
        <w:gridCol w:w="1447"/>
        <w:gridCol w:w="660"/>
        <w:gridCol w:w="435"/>
      </w:tblGrid>
      <w:tr w14:paraId="29B94A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5E6EA9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方法</w:t>
            </w:r>
          </w:p>
        </w:tc>
        <w:tc>
          <w:tcPr>
            <w:tcW w:w="0" w:type="auto"/>
            <w:shd w:val="clear"/>
            <w:vAlign w:val="center"/>
          </w:tcPr>
          <w:p w14:paraId="6D7D3B6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ABC无噪声</w:t>
            </w:r>
          </w:p>
        </w:tc>
        <w:tc>
          <w:tcPr>
            <w:tcW w:w="0" w:type="auto"/>
            <w:shd w:val="clear"/>
            <w:vAlign w:val="center"/>
          </w:tcPr>
          <w:p w14:paraId="0EBF0602">
            <w:pPr>
              <w:jc w:val="center"/>
              <w:rPr>
                <w:rFonts w:hint="eastAsia" w:ascii="宋体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2C60152">
            <w:pPr>
              <w:jc w:val="center"/>
              <w:rPr>
                <w:rFonts w:hint="eastAsia" w:ascii="宋体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48D95E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ABC可变噪声</w:t>
            </w:r>
          </w:p>
        </w:tc>
        <w:tc>
          <w:tcPr>
            <w:tcW w:w="0" w:type="auto"/>
            <w:shd w:val="clear"/>
            <w:vAlign w:val="center"/>
          </w:tcPr>
          <w:p w14:paraId="412C5A98">
            <w:pPr>
              <w:jc w:val="center"/>
              <w:rPr>
                <w:rFonts w:hint="eastAsia" w:ascii="宋体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2ACACA6">
            <w:pPr>
              <w:jc w:val="center"/>
              <w:rPr>
                <w:rFonts w:hint="eastAsia" w:ascii="宋体"/>
                <w:b/>
                <w:bCs/>
                <w:sz w:val="24"/>
                <w:szCs w:val="24"/>
              </w:rPr>
            </w:pPr>
          </w:p>
        </w:tc>
      </w:tr>
      <w:tr w14:paraId="2243F1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BFC80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718C5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CD</w:t>
            </w:r>
          </w:p>
        </w:tc>
        <w:tc>
          <w:tcPr>
            <w:tcW w:w="0" w:type="auto"/>
            <w:shd w:val="clear"/>
            <w:vAlign w:val="center"/>
          </w:tcPr>
          <w:p w14:paraId="06E068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NCE</w:t>
            </w:r>
          </w:p>
        </w:tc>
        <w:tc>
          <w:tcPr>
            <w:tcW w:w="0" w:type="auto"/>
            <w:shd w:val="clear"/>
            <w:vAlign w:val="center"/>
          </w:tcPr>
          <w:p w14:paraId="647EF4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BCR</w:t>
            </w:r>
          </w:p>
        </w:tc>
        <w:tc>
          <w:tcPr>
            <w:tcW w:w="0" w:type="auto"/>
            <w:shd w:val="clear"/>
            <w:vAlign w:val="center"/>
          </w:tcPr>
          <w:p w14:paraId="6F4730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CD</w:t>
            </w:r>
          </w:p>
        </w:tc>
        <w:tc>
          <w:tcPr>
            <w:tcW w:w="0" w:type="auto"/>
            <w:shd w:val="clear"/>
            <w:vAlign w:val="center"/>
          </w:tcPr>
          <w:p w14:paraId="37DC5B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NCE</w:t>
            </w:r>
          </w:p>
        </w:tc>
        <w:tc>
          <w:tcPr>
            <w:tcW w:w="0" w:type="auto"/>
            <w:shd w:val="clear"/>
            <w:vAlign w:val="center"/>
          </w:tcPr>
          <w:p w14:paraId="489962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BCR</w:t>
            </w:r>
          </w:p>
        </w:tc>
      </w:tr>
      <w:tr w14:paraId="7D6C22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CB2D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</w:t>
            </w:r>
          </w:p>
        </w:tc>
        <w:tc>
          <w:tcPr>
            <w:tcW w:w="0" w:type="auto"/>
            <w:shd w:val="clear"/>
            <w:vAlign w:val="center"/>
          </w:tcPr>
          <w:p w14:paraId="01E3F5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1.742</w:t>
            </w:r>
          </w:p>
        </w:tc>
        <w:tc>
          <w:tcPr>
            <w:tcW w:w="0" w:type="auto"/>
            <w:shd w:val="clear"/>
            <w:vAlign w:val="center"/>
          </w:tcPr>
          <w:p w14:paraId="2C4E88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0.102</w:t>
            </w:r>
          </w:p>
        </w:tc>
        <w:tc>
          <w:tcPr>
            <w:tcW w:w="0" w:type="auto"/>
            <w:shd w:val="clear"/>
            <w:vAlign w:val="center"/>
          </w:tcPr>
          <w:p w14:paraId="4C13AE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2%</w:t>
            </w:r>
          </w:p>
        </w:tc>
        <w:tc>
          <w:tcPr>
            <w:tcW w:w="0" w:type="auto"/>
            <w:shd w:val="clear"/>
            <w:vAlign w:val="center"/>
          </w:tcPr>
          <w:p w14:paraId="27BDA5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1.627</w:t>
            </w:r>
          </w:p>
        </w:tc>
        <w:tc>
          <w:tcPr>
            <w:tcW w:w="0" w:type="auto"/>
            <w:shd w:val="clear"/>
            <w:vAlign w:val="center"/>
          </w:tcPr>
          <w:p w14:paraId="68E17E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0.094</w:t>
            </w:r>
          </w:p>
        </w:tc>
        <w:tc>
          <w:tcPr>
            <w:tcW w:w="0" w:type="auto"/>
            <w:shd w:val="clear"/>
            <w:vAlign w:val="center"/>
          </w:tcPr>
          <w:p w14:paraId="479E9B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6%</w:t>
            </w:r>
          </w:p>
        </w:tc>
      </w:tr>
      <w:tr w14:paraId="524703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0060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</w:t>
            </w:r>
          </w:p>
        </w:tc>
        <w:tc>
          <w:tcPr>
            <w:tcW w:w="0" w:type="auto"/>
            <w:shd w:val="clear"/>
            <w:vAlign w:val="center"/>
          </w:tcPr>
          <w:p w14:paraId="184189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1.703</w:t>
            </w:r>
          </w:p>
        </w:tc>
        <w:tc>
          <w:tcPr>
            <w:tcW w:w="0" w:type="auto"/>
            <w:shd w:val="clear"/>
            <w:vAlign w:val="center"/>
          </w:tcPr>
          <w:p w14:paraId="22963A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0.109</w:t>
            </w:r>
          </w:p>
        </w:tc>
        <w:tc>
          <w:tcPr>
            <w:tcW w:w="0" w:type="auto"/>
            <w:shd w:val="clear"/>
            <w:vAlign w:val="center"/>
          </w:tcPr>
          <w:p w14:paraId="71D74F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0%</w:t>
            </w:r>
          </w:p>
        </w:tc>
        <w:tc>
          <w:tcPr>
            <w:tcW w:w="0" w:type="auto"/>
            <w:shd w:val="clear"/>
            <w:vAlign w:val="center"/>
          </w:tcPr>
          <w:p w14:paraId="16B654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1.707</w:t>
            </w:r>
          </w:p>
        </w:tc>
        <w:tc>
          <w:tcPr>
            <w:tcW w:w="0" w:type="auto"/>
            <w:shd w:val="clear"/>
            <w:vAlign w:val="center"/>
          </w:tcPr>
          <w:p w14:paraId="7236EF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0.135</w:t>
            </w:r>
          </w:p>
        </w:tc>
        <w:tc>
          <w:tcPr>
            <w:tcW w:w="0" w:type="auto"/>
            <w:shd w:val="clear"/>
            <w:vAlign w:val="center"/>
          </w:tcPr>
          <w:p w14:paraId="19C922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0%</w:t>
            </w:r>
          </w:p>
        </w:tc>
      </w:tr>
      <w:tr w14:paraId="2AE39B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65D6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SPR</w:t>
            </w:r>
          </w:p>
        </w:tc>
        <w:tc>
          <w:tcPr>
            <w:tcW w:w="0" w:type="auto"/>
            <w:shd w:val="clear"/>
            <w:vAlign w:val="center"/>
          </w:tcPr>
          <w:p w14:paraId="73A237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1.588</w:t>
            </w:r>
          </w:p>
        </w:tc>
        <w:tc>
          <w:tcPr>
            <w:tcW w:w="0" w:type="auto"/>
            <w:shd w:val="clear"/>
            <w:vAlign w:val="center"/>
          </w:tcPr>
          <w:p w14:paraId="270E33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0.052</w:t>
            </w:r>
          </w:p>
        </w:tc>
        <w:tc>
          <w:tcPr>
            <w:tcW w:w="0" w:type="auto"/>
            <w:shd w:val="clear"/>
            <w:vAlign w:val="center"/>
          </w:tcPr>
          <w:p w14:paraId="1E9AAA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33%</w:t>
            </w:r>
          </w:p>
        </w:tc>
        <w:tc>
          <w:tcPr>
            <w:tcW w:w="0" w:type="auto"/>
            <w:shd w:val="clear"/>
            <w:vAlign w:val="center"/>
          </w:tcPr>
          <w:p w14:paraId="7B04DC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1.633</w:t>
            </w:r>
          </w:p>
        </w:tc>
        <w:tc>
          <w:tcPr>
            <w:tcW w:w="0" w:type="auto"/>
            <w:shd w:val="clear"/>
            <w:vAlign w:val="center"/>
          </w:tcPr>
          <w:p w14:paraId="72F3D5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0.070</w:t>
            </w:r>
          </w:p>
        </w:tc>
        <w:tc>
          <w:tcPr>
            <w:tcW w:w="0" w:type="auto"/>
            <w:shd w:val="clear"/>
            <w:vAlign w:val="center"/>
          </w:tcPr>
          <w:p w14:paraId="291CE8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10%</w:t>
            </w:r>
          </w:p>
        </w:tc>
      </w:tr>
      <w:tr w14:paraId="6E9176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0794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P2S</w:t>
            </w:r>
          </w:p>
        </w:tc>
        <w:tc>
          <w:tcPr>
            <w:tcW w:w="0" w:type="auto"/>
            <w:shd w:val="clear"/>
            <w:vAlign w:val="center"/>
          </w:tcPr>
          <w:p w14:paraId="7EFA9E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1.126</w:t>
            </w:r>
          </w:p>
        </w:tc>
        <w:tc>
          <w:tcPr>
            <w:tcW w:w="0" w:type="auto"/>
            <w:shd w:val="clear"/>
            <w:vAlign w:val="center"/>
          </w:tcPr>
          <w:p w14:paraId="074552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0.048</w:t>
            </w:r>
          </w:p>
        </w:tc>
        <w:tc>
          <w:tcPr>
            <w:tcW w:w="0" w:type="auto"/>
            <w:shd w:val="clear"/>
            <w:vAlign w:val="center"/>
          </w:tcPr>
          <w:p w14:paraId="4ABCFE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2%</w:t>
            </w:r>
          </w:p>
        </w:tc>
        <w:tc>
          <w:tcPr>
            <w:tcW w:w="0" w:type="auto"/>
            <w:shd w:val="clear"/>
            <w:vAlign w:val="center"/>
          </w:tcPr>
          <w:p w14:paraId="119638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1.132</w:t>
            </w:r>
          </w:p>
        </w:tc>
        <w:tc>
          <w:tcPr>
            <w:tcW w:w="0" w:type="auto"/>
            <w:shd w:val="clear"/>
            <w:vAlign w:val="center"/>
          </w:tcPr>
          <w:p w14:paraId="76594D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0.056</w:t>
            </w:r>
          </w:p>
        </w:tc>
        <w:tc>
          <w:tcPr>
            <w:tcW w:w="0" w:type="auto"/>
            <w:shd w:val="clear"/>
            <w:vAlign w:val="center"/>
          </w:tcPr>
          <w:p w14:paraId="11A4E1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4%</w:t>
            </w:r>
          </w:p>
        </w:tc>
      </w:tr>
      <w:tr w14:paraId="094618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73CD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Ours(本文)</w:t>
            </w:r>
          </w:p>
        </w:tc>
        <w:tc>
          <w:tcPr>
            <w:tcW w:w="0" w:type="auto"/>
            <w:shd w:val="clear"/>
            <w:vAlign w:val="center"/>
          </w:tcPr>
          <w:p w14:paraId="5D4330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1.110</w:t>
            </w:r>
          </w:p>
        </w:tc>
        <w:tc>
          <w:tcPr>
            <w:tcW w:w="0" w:type="auto"/>
            <w:shd w:val="clear"/>
            <w:vAlign w:val="center"/>
          </w:tcPr>
          <w:p w14:paraId="06A9FA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0.042</w:t>
            </w:r>
          </w:p>
        </w:tc>
        <w:tc>
          <w:tcPr>
            <w:tcW w:w="0" w:type="auto"/>
            <w:shd w:val="clear"/>
            <w:vAlign w:val="center"/>
          </w:tcPr>
          <w:p w14:paraId="50E64D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63%</w:t>
            </w:r>
          </w:p>
        </w:tc>
        <w:tc>
          <w:tcPr>
            <w:tcW w:w="0" w:type="auto"/>
            <w:shd w:val="clear"/>
            <w:vAlign w:val="center"/>
          </w:tcPr>
          <w:p w14:paraId="24BD5A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1.118</w:t>
            </w:r>
          </w:p>
        </w:tc>
        <w:tc>
          <w:tcPr>
            <w:tcW w:w="0" w:type="auto"/>
            <w:shd w:val="clear"/>
            <w:vAlign w:val="center"/>
          </w:tcPr>
          <w:p w14:paraId="3C5EE5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0.049</w:t>
            </w:r>
          </w:p>
        </w:tc>
        <w:tc>
          <w:tcPr>
            <w:tcW w:w="0" w:type="auto"/>
            <w:shd w:val="clear"/>
            <w:vAlign w:val="center"/>
          </w:tcPr>
          <w:p w14:paraId="2F5646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80%</w:t>
            </w:r>
          </w:p>
        </w:tc>
      </w:tr>
    </w:tbl>
    <w:p w14:paraId="41EC8751">
      <w:pPr>
        <w:pStyle w:val="6"/>
        <w:keepNext w:val="0"/>
        <w:keepLines w:val="0"/>
        <w:widowControl/>
        <w:suppressLineNumbers w:val="0"/>
      </w:pPr>
      <w:r>
        <w:t>定量实验说明：干净、噪声数据上本文综合性能全面占优。对比CON、Points2Surf，本文在全部测试集上倒角距离更小，法向一致性更好；对比传统SPR、GR，本文完全不依赖法向估计，抗噪声鲁棒性更强。</w:t>
      </w:r>
    </w:p>
    <w:p w14:paraId="352EFE8C">
      <w:pPr>
        <w:pStyle w:val="6"/>
        <w:keepNext w:val="0"/>
        <w:keepLines w:val="0"/>
        <w:widowControl/>
        <w:suppressLineNumbers w:val="0"/>
      </w:pPr>
      <w:r>
        <w:t>图6、图7为ABC数据集无噪声、可变噪声定性对比；图8、图9是Famous数据集可视化结果。CON受投影分辨率限制，难以还原复杂拓扑与细小结构，ABC干净集平均指标甚至差于噪声集。GR需要稠密采样还原细节，高度依赖法向量精度，法向出错性能急剧下降。SPR在采样、法向准确时重建质量高，但法向朝向出错、存在噪声时效果下降。Points2Surf主要缺陷是曲面出现波纹、凹凸不平。反观本文方法，可以输出高法向一致性曲面，同时保留几何细节与尖角特征。</w:t>
      </w:r>
    </w:p>
    <w:p w14:paraId="601C02F9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表2 Famous数据集定量对比（仅测试，未参与训练）</w:t>
      </w:r>
    </w:p>
    <w:tbl>
      <w:tblPr>
        <w:tblW w:w="0" w:type="auto"/>
        <w:tblCellSpacing w:w="15" w:type="dxa"/>
        <w:tblInd w:w="7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1569"/>
        <w:gridCol w:w="660"/>
        <w:gridCol w:w="660"/>
        <w:gridCol w:w="1810"/>
        <w:gridCol w:w="660"/>
        <w:gridCol w:w="675"/>
      </w:tblGrid>
      <w:tr w14:paraId="1B0922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F67DEA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方法</w:t>
            </w:r>
          </w:p>
        </w:tc>
        <w:tc>
          <w:tcPr>
            <w:tcW w:w="0" w:type="auto"/>
            <w:shd w:val="clear"/>
            <w:vAlign w:val="center"/>
          </w:tcPr>
          <w:p w14:paraId="34C52A6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Famous无噪声</w:t>
            </w:r>
          </w:p>
        </w:tc>
        <w:tc>
          <w:tcPr>
            <w:tcW w:w="0" w:type="auto"/>
            <w:shd w:val="clear"/>
            <w:vAlign w:val="center"/>
          </w:tcPr>
          <w:p w14:paraId="410F824D">
            <w:pPr>
              <w:jc w:val="center"/>
              <w:rPr>
                <w:rFonts w:hint="eastAsia" w:ascii="宋体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F3EBFB5">
            <w:pPr>
              <w:jc w:val="center"/>
              <w:rPr>
                <w:rFonts w:hint="eastAsia" w:ascii="宋体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9A19D0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Famous可变噪声</w:t>
            </w:r>
          </w:p>
        </w:tc>
        <w:tc>
          <w:tcPr>
            <w:tcW w:w="0" w:type="auto"/>
            <w:shd w:val="clear"/>
            <w:vAlign w:val="center"/>
          </w:tcPr>
          <w:p w14:paraId="66748187">
            <w:pPr>
              <w:jc w:val="center"/>
              <w:rPr>
                <w:rFonts w:hint="eastAsia" w:ascii="宋体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26FFC87">
            <w:pPr>
              <w:jc w:val="center"/>
              <w:rPr>
                <w:rFonts w:hint="eastAsia" w:ascii="宋体"/>
                <w:b/>
                <w:bCs/>
                <w:sz w:val="24"/>
                <w:szCs w:val="24"/>
              </w:rPr>
            </w:pPr>
          </w:p>
        </w:tc>
      </w:tr>
      <w:tr w14:paraId="5301BF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3A8E2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5BBDB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CD</w:t>
            </w:r>
          </w:p>
        </w:tc>
        <w:tc>
          <w:tcPr>
            <w:tcW w:w="0" w:type="auto"/>
            <w:shd w:val="clear"/>
            <w:vAlign w:val="center"/>
          </w:tcPr>
          <w:p w14:paraId="02A3FD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NCE</w:t>
            </w:r>
          </w:p>
        </w:tc>
        <w:tc>
          <w:tcPr>
            <w:tcW w:w="0" w:type="auto"/>
            <w:shd w:val="clear"/>
            <w:vAlign w:val="center"/>
          </w:tcPr>
          <w:p w14:paraId="5B87DA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BCR</w:t>
            </w:r>
          </w:p>
        </w:tc>
        <w:tc>
          <w:tcPr>
            <w:tcW w:w="0" w:type="auto"/>
            <w:shd w:val="clear"/>
            <w:vAlign w:val="center"/>
          </w:tcPr>
          <w:p w14:paraId="33663B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CD</w:t>
            </w:r>
          </w:p>
        </w:tc>
        <w:tc>
          <w:tcPr>
            <w:tcW w:w="0" w:type="auto"/>
            <w:shd w:val="clear"/>
            <w:vAlign w:val="center"/>
          </w:tcPr>
          <w:p w14:paraId="29CF1D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NCE</w:t>
            </w:r>
          </w:p>
        </w:tc>
        <w:tc>
          <w:tcPr>
            <w:tcW w:w="0" w:type="auto"/>
            <w:shd w:val="clear"/>
            <w:vAlign w:val="center"/>
          </w:tcPr>
          <w:p w14:paraId="410B4A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BCR</w:t>
            </w:r>
          </w:p>
        </w:tc>
      </w:tr>
      <w:tr w14:paraId="05D13A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AC01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</w:t>
            </w:r>
          </w:p>
        </w:tc>
        <w:tc>
          <w:tcPr>
            <w:tcW w:w="0" w:type="auto"/>
            <w:shd w:val="clear"/>
            <w:vAlign w:val="center"/>
          </w:tcPr>
          <w:p w14:paraId="5A2035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3.983</w:t>
            </w:r>
          </w:p>
        </w:tc>
        <w:tc>
          <w:tcPr>
            <w:tcW w:w="0" w:type="auto"/>
            <w:shd w:val="clear"/>
            <w:vAlign w:val="center"/>
          </w:tcPr>
          <w:p w14:paraId="50CD38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0.241</w:t>
            </w:r>
          </w:p>
        </w:tc>
        <w:tc>
          <w:tcPr>
            <w:tcW w:w="0" w:type="auto"/>
            <w:shd w:val="clear"/>
            <w:vAlign w:val="center"/>
          </w:tcPr>
          <w:p w14:paraId="01021B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0%</w:t>
            </w:r>
          </w:p>
        </w:tc>
        <w:tc>
          <w:tcPr>
            <w:tcW w:w="0" w:type="auto"/>
            <w:shd w:val="clear"/>
            <w:vAlign w:val="center"/>
          </w:tcPr>
          <w:p w14:paraId="7508F6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4.189</w:t>
            </w:r>
          </w:p>
        </w:tc>
        <w:tc>
          <w:tcPr>
            <w:tcW w:w="0" w:type="auto"/>
            <w:shd w:val="clear"/>
            <w:vAlign w:val="center"/>
          </w:tcPr>
          <w:p w14:paraId="4FBE0B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0.246</w:t>
            </w:r>
          </w:p>
        </w:tc>
        <w:tc>
          <w:tcPr>
            <w:tcW w:w="0" w:type="auto"/>
            <w:shd w:val="clear"/>
            <w:vAlign w:val="center"/>
          </w:tcPr>
          <w:p w14:paraId="4D12CA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0%</w:t>
            </w:r>
          </w:p>
        </w:tc>
      </w:tr>
      <w:tr w14:paraId="2AACC2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6BEA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</w:t>
            </w:r>
          </w:p>
        </w:tc>
        <w:tc>
          <w:tcPr>
            <w:tcW w:w="0" w:type="auto"/>
            <w:shd w:val="clear"/>
            <w:vAlign w:val="center"/>
          </w:tcPr>
          <w:p w14:paraId="310ABC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1.631</w:t>
            </w:r>
          </w:p>
        </w:tc>
        <w:tc>
          <w:tcPr>
            <w:tcW w:w="0" w:type="auto"/>
            <w:shd w:val="clear"/>
            <w:vAlign w:val="center"/>
          </w:tcPr>
          <w:p w14:paraId="7FB8CF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0.103</w:t>
            </w:r>
          </w:p>
        </w:tc>
        <w:tc>
          <w:tcPr>
            <w:tcW w:w="0" w:type="auto"/>
            <w:shd w:val="clear"/>
            <w:vAlign w:val="center"/>
          </w:tcPr>
          <w:p w14:paraId="559445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0%</w:t>
            </w:r>
          </w:p>
        </w:tc>
        <w:tc>
          <w:tcPr>
            <w:tcW w:w="0" w:type="auto"/>
            <w:shd w:val="clear"/>
            <w:vAlign w:val="center"/>
          </w:tcPr>
          <w:p w14:paraId="7866B4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1.706</w:t>
            </w:r>
          </w:p>
        </w:tc>
        <w:tc>
          <w:tcPr>
            <w:tcW w:w="0" w:type="auto"/>
            <w:shd w:val="clear"/>
            <w:vAlign w:val="center"/>
          </w:tcPr>
          <w:p w14:paraId="2FD450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0.122</w:t>
            </w:r>
          </w:p>
        </w:tc>
        <w:tc>
          <w:tcPr>
            <w:tcW w:w="0" w:type="auto"/>
            <w:shd w:val="clear"/>
            <w:vAlign w:val="center"/>
          </w:tcPr>
          <w:p w14:paraId="0D58CE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0%</w:t>
            </w:r>
          </w:p>
        </w:tc>
      </w:tr>
      <w:tr w14:paraId="02B66A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E2B9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SPR</w:t>
            </w:r>
          </w:p>
        </w:tc>
        <w:tc>
          <w:tcPr>
            <w:tcW w:w="0" w:type="auto"/>
            <w:shd w:val="clear"/>
            <w:vAlign w:val="center"/>
          </w:tcPr>
          <w:p w14:paraId="1F8737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1.359</w:t>
            </w:r>
          </w:p>
        </w:tc>
        <w:tc>
          <w:tcPr>
            <w:tcW w:w="0" w:type="auto"/>
            <w:shd w:val="clear"/>
            <w:vAlign w:val="center"/>
          </w:tcPr>
          <w:p w14:paraId="1FBD91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0.081</w:t>
            </w:r>
          </w:p>
        </w:tc>
        <w:tc>
          <w:tcPr>
            <w:tcW w:w="0" w:type="auto"/>
            <w:shd w:val="clear"/>
            <w:vAlign w:val="center"/>
          </w:tcPr>
          <w:p w14:paraId="06E8B2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68.2%</w:t>
            </w:r>
          </w:p>
        </w:tc>
        <w:tc>
          <w:tcPr>
            <w:tcW w:w="0" w:type="auto"/>
            <w:shd w:val="clear"/>
            <w:vAlign w:val="center"/>
          </w:tcPr>
          <w:p w14:paraId="36A0E1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1.380</w:t>
            </w:r>
          </w:p>
        </w:tc>
        <w:tc>
          <w:tcPr>
            <w:tcW w:w="0" w:type="auto"/>
            <w:shd w:val="clear"/>
            <w:vAlign w:val="center"/>
          </w:tcPr>
          <w:p w14:paraId="16AF8C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0.102</w:t>
            </w:r>
          </w:p>
        </w:tc>
        <w:tc>
          <w:tcPr>
            <w:tcW w:w="0" w:type="auto"/>
            <w:shd w:val="clear"/>
            <w:vAlign w:val="center"/>
          </w:tcPr>
          <w:p w14:paraId="726124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22.7%</w:t>
            </w:r>
          </w:p>
        </w:tc>
      </w:tr>
      <w:tr w14:paraId="757C87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7F43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P2S</w:t>
            </w:r>
          </w:p>
        </w:tc>
        <w:tc>
          <w:tcPr>
            <w:tcW w:w="0" w:type="auto"/>
            <w:shd w:val="clear"/>
            <w:vAlign w:val="center"/>
          </w:tcPr>
          <w:p w14:paraId="7A0D57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1.235</w:t>
            </w:r>
          </w:p>
        </w:tc>
        <w:tc>
          <w:tcPr>
            <w:tcW w:w="0" w:type="auto"/>
            <w:shd w:val="clear"/>
            <w:vAlign w:val="center"/>
          </w:tcPr>
          <w:p w14:paraId="779E35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0.094</w:t>
            </w:r>
          </w:p>
        </w:tc>
        <w:tc>
          <w:tcPr>
            <w:tcW w:w="0" w:type="auto"/>
            <w:shd w:val="clear"/>
            <w:vAlign w:val="center"/>
          </w:tcPr>
          <w:p w14:paraId="2DF637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0%</w:t>
            </w:r>
          </w:p>
        </w:tc>
        <w:tc>
          <w:tcPr>
            <w:tcW w:w="0" w:type="auto"/>
            <w:shd w:val="clear"/>
            <w:vAlign w:val="center"/>
          </w:tcPr>
          <w:p w14:paraId="5C710E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1.258</w:t>
            </w:r>
          </w:p>
        </w:tc>
        <w:tc>
          <w:tcPr>
            <w:tcW w:w="0" w:type="auto"/>
            <w:shd w:val="clear"/>
            <w:vAlign w:val="center"/>
          </w:tcPr>
          <w:p w14:paraId="502C21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0.102</w:t>
            </w:r>
          </w:p>
        </w:tc>
        <w:tc>
          <w:tcPr>
            <w:tcW w:w="0" w:type="auto"/>
            <w:shd w:val="clear"/>
            <w:vAlign w:val="center"/>
          </w:tcPr>
          <w:p w14:paraId="5F374E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0%</w:t>
            </w:r>
          </w:p>
        </w:tc>
      </w:tr>
      <w:tr w14:paraId="46DFA4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8166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Ours(本文)</w:t>
            </w:r>
          </w:p>
        </w:tc>
        <w:tc>
          <w:tcPr>
            <w:tcW w:w="0" w:type="auto"/>
            <w:shd w:val="clear"/>
            <w:vAlign w:val="center"/>
          </w:tcPr>
          <w:p w14:paraId="0FD971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1.226</w:t>
            </w:r>
          </w:p>
        </w:tc>
        <w:tc>
          <w:tcPr>
            <w:tcW w:w="0" w:type="auto"/>
            <w:shd w:val="clear"/>
            <w:vAlign w:val="center"/>
          </w:tcPr>
          <w:p w14:paraId="100D5A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0.082</w:t>
            </w:r>
          </w:p>
        </w:tc>
        <w:tc>
          <w:tcPr>
            <w:tcW w:w="0" w:type="auto"/>
            <w:shd w:val="clear"/>
            <w:vAlign w:val="center"/>
          </w:tcPr>
          <w:p w14:paraId="3C2844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31.8%</w:t>
            </w:r>
          </w:p>
        </w:tc>
        <w:tc>
          <w:tcPr>
            <w:tcW w:w="0" w:type="auto"/>
            <w:shd w:val="clear"/>
            <w:vAlign w:val="center"/>
          </w:tcPr>
          <w:p w14:paraId="426B32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1.253</w:t>
            </w:r>
          </w:p>
        </w:tc>
        <w:tc>
          <w:tcPr>
            <w:tcW w:w="0" w:type="auto"/>
            <w:shd w:val="clear"/>
            <w:vAlign w:val="center"/>
          </w:tcPr>
          <w:p w14:paraId="432F73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0.091</w:t>
            </w:r>
          </w:p>
        </w:tc>
        <w:tc>
          <w:tcPr>
            <w:tcW w:w="0" w:type="auto"/>
            <w:shd w:val="clear"/>
            <w:vAlign w:val="center"/>
          </w:tcPr>
          <w:p w14:paraId="4B7ACA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77.3%</w:t>
            </w:r>
          </w:p>
        </w:tc>
      </w:tr>
    </w:tbl>
    <w:p w14:paraId="13C83E6A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补充说明：Famous无噪声测试集SPR法向一致性指标非常优秀，原因是PCPNet训练数据部分样本取自Famous数据集，因此该测试集上SPR输入法向量精度极高。</w:t>
      </w:r>
    </w:p>
    <w:p w14:paraId="385D67B6">
      <w:pPr>
        <w:pStyle w:val="6"/>
        <w:keepNext w:val="0"/>
        <w:keepLines w:val="0"/>
        <w:widowControl/>
        <w:suppressLineNumbers w:val="0"/>
      </w:pPr>
      <w:r>
        <w:t>为进一步验证鲁棒性，在Famous数据集测试不同高斯噪声幅值 (\beta=0.01,0.02,0.04)，全部点添加噪声，结果如表3。三种噪声等级本文指标全部最优；噪声越大，本文相对优势越明显。网络拼接点特征、局部特征、全局隐向量，能够感知点云噪声等级，因此抗噪声能力更强。</w:t>
      </w:r>
    </w:p>
    <w:p w14:paraId="25490883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表3 Famous数据集不同噪声幅值定量对比</w:t>
      </w:r>
    </w:p>
    <w:tbl>
      <w:tblPr>
        <w:tblW w:w="0" w:type="auto"/>
        <w:tblCellSpacing w:w="15" w:type="dxa"/>
        <w:tblInd w:w="7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9"/>
        <w:gridCol w:w="1504"/>
        <w:gridCol w:w="660"/>
        <w:gridCol w:w="1504"/>
        <w:gridCol w:w="660"/>
        <w:gridCol w:w="1504"/>
        <w:gridCol w:w="675"/>
      </w:tblGrid>
      <w:tr w14:paraId="07918D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B86C42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方法</w:t>
            </w:r>
          </w:p>
        </w:tc>
        <w:tc>
          <w:tcPr>
            <w:tcW w:w="0" w:type="auto"/>
            <w:shd w:val="clear"/>
            <w:vAlign w:val="center"/>
          </w:tcPr>
          <w:p w14:paraId="044FE65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Famous n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0.01</w:t>
            </w:r>
          </w:p>
        </w:tc>
        <w:tc>
          <w:tcPr>
            <w:tcW w:w="0" w:type="auto"/>
            <w:shd w:val="clear"/>
            <w:vAlign w:val="center"/>
          </w:tcPr>
          <w:p w14:paraId="09CB15B1">
            <w:pPr>
              <w:jc w:val="center"/>
              <w:rPr>
                <w:rFonts w:hint="eastAsia" w:ascii="宋体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ABF7C4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Famous n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0.02</w:t>
            </w:r>
          </w:p>
        </w:tc>
        <w:tc>
          <w:tcPr>
            <w:tcW w:w="0" w:type="auto"/>
            <w:shd w:val="clear"/>
            <w:vAlign w:val="center"/>
          </w:tcPr>
          <w:p w14:paraId="5010F9B2">
            <w:pPr>
              <w:jc w:val="center"/>
              <w:rPr>
                <w:rFonts w:hint="eastAsia" w:ascii="宋体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FD9B03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Famous n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0.04</w:t>
            </w:r>
          </w:p>
        </w:tc>
        <w:tc>
          <w:tcPr>
            <w:tcW w:w="0" w:type="auto"/>
            <w:shd w:val="clear"/>
            <w:vAlign w:val="center"/>
          </w:tcPr>
          <w:p w14:paraId="2B7C3533">
            <w:pPr>
              <w:jc w:val="center"/>
              <w:rPr>
                <w:rFonts w:hint="eastAsia" w:ascii="宋体"/>
                <w:b/>
                <w:bCs/>
                <w:sz w:val="24"/>
                <w:szCs w:val="24"/>
              </w:rPr>
            </w:pPr>
          </w:p>
        </w:tc>
      </w:tr>
      <w:tr w14:paraId="510531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80658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F33A2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CD</w:t>
            </w:r>
          </w:p>
        </w:tc>
        <w:tc>
          <w:tcPr>
            <w:tcW w:w="0" w:type="auto"/>
            <w:shd w:val="clear"/>
            <w:vAlign w:val="center"/>
          </w:tcPr>
          <w:p w14:paraId="1E6007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NCE</w:t>
            </w:r>
          </w:p>
        </w:tc>
        <w:tc>
          <w:tcPr>
            <w:tcW w:w="0" w:type="auto"/>
            <w:shd w:val="clear"/>
            <w:vAlign w:val="center"/>
          </w:tcPr>
          <w:p w14:paraId="0C0E08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CD</w:t>
            </w:r>
          </w:p>
        </w:tc>
        <w:tc>
          <w:tcPr>
            <w:tcW w:w="0" w:type="auto"/>
            <w:shd w:val="clear"/>
            <w:vAlign w:val="center"/>
          </w:tcPr>
          <w:p w14:paraId="369A16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NCE</w:t>
            </w:r>
          </w:p>
        </w:tc>
        <w:tc>
          <w:tcPr>
            <w:tcW w:w="0" w:type="auto"/>
            <w:shd w:val="clear"/>
            <w:vAlign w:val="center"/>
          </w:tcPr>
          <w:p w14:paraId="2C6C3F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CD</w:t>
            </w:r>
          </w:p>
        </w:tc>
        <w:tc>
          <w:tcPr>
            <w:tcW w:w="0" w:type="auto"/>
            <w:shd w:val="clear"/>
            <w:vAlign w:val="center"/>
          </w:tcPr>
          <w:p w14:paraId="3BD524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NCE</w:t>
            </w:r>
          </w:p>
        </w:tc>
      </w:tr>
      <w:tr w14:paraId="4EEED9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A767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</w:t>
            </w:r>
          </w:p>
        </w:tc>
        <w:tc>
          <w:tcPr>
            <w:tcW w:w="0" w:type="auto"/>
            <w:shd w:val="clear"/>
            <w:vAlign w:val="center"/>
          </w:tcPr>
          <w:p w14:paraId="6C0F88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3.989</w:t>
            </w:r>
          </w:p>
        </w:tc>
        <w:tc>
          <w:tcPr>
            <w:tcW w:w="0" w:type="auto"/>
            <w:shd w:val="clear"/>
            <w:vAlign w:val="center"/>
          </w:tcPr>
          <w:p w14:paraId="23BAE3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0.242</w:t>
            </w:r>
          </w:p>
        </w:tc>
        <w:tc>
          <w:tcPr>
            <w:tcW w:w="0" w:type="auto"/>
            <w:shd w:val="clear"/>
            <w:vAlign w:val="center"/>
          </w:tcPr>
          <w:p w14:paraId="2242B0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4.137</w:t>
            </w:r>
          </w:p>
        </w:tc>
        <w:tc>
          <w:tcPr>
            <w:tcW w:w="0" w:type="auto"/>
            <w:shd w:val="clear"/>
            <w:vAlign w:val="center"/>
          </w:tcPr>
          <w:p w14:paraId="0F3E13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0.245</w:t>
            </w:r>
          </w:p>
        </w:tc>
        <w:tc>
          <w:tcPr>
            <w:tcW w:w="0" w:type="auto"/>
            <w:shd w:val="clear"/>
            <w:vAlign w:val="center"/>
          </w:tcPr>
          <w:p w14:paraId="483456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4.570</w:t>
            </w:r>
          </w:p>
        </w:tc>
        <w:tc>
          <w:tcPr>
            <w:tcW w:w="0" w:type="auto"/>
            <w:shd w:val="clear"/>
            <w:vAlign w:val="center"/>
          </w:tcPr>
          <w:p w14:paraId="46987C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0.252</w:t>
            </w:r>
          </w:p>
        </w:tc>
      </w:tr>
      <w:tr w14:paraId="30C3C4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CBCD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</w:t>
            </w:r>
          </w:p>
        </w:tc>
        <w:tc>
          <w:tcPr>
            <w:tcW w:w="0" w:type="auto"/>
            <w:shd w:val="clear"/>
            <w:vAlign w:val="center"/>
          </w:tcPr>
          <w:p w14:paraId="1701B7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1.644</w:t>
            </w:r>
          </w:p>
        </w:tc>
        <w:tc>
          <w:tcPr>
            <w:tcW w:w="0" w:type="auto"/>
            <w:shd w:val="clear"/>
            <w:vAlign w:val="center"/>
          </w:tcPr>
          <w:p w14:paraId="0D2A8F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0.110</w:t>
            </w:r>
          </w:p>
        </w:tc>
        <w:tc>
          <w:tcPr>
            <w:tcW w:w="0" w:type="auto"/>
            <w:shd w:val="clear"/>
            <w:vAlign w:val="center"/>
          </w:tcPr>
          <w:p w14:paraId="2640A0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1.689</w:t>
            </w:r>
          </w:p>
        </w:tc>
        <w:tc>
          <w:tcPr>
            <w:tcW w:w="0" w:type="auto"/>
            <w:shd w:val="clear"/>
            <w:vAlign w:val="center"/>
          </w:tcPr>
          <w:p w14:paraId="23D074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0.125</w:t>
            </w:r>
          </w:p>
        </w:tc>
        <w:tc>
          <w:tcPr>
            <w:tcW w:w="0" w:type="auto"/>
            <w:shd w:val="clear"/>
            <w:vAlign w:val="center"/>
          </w:tcPr>
          <w:p w14:paraId="355771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1.870</w:t>
            </w:r>
          </w:p>
        </w:tc>
        <w:tc>
          <w:tcPr>
            <w:tcW w:w="0" w:type="auto"/>
            <w:shd w:val="clear"/>
            <w:vAlign w:val="center"/>
          </w:tcPr>
          <w:p w14:paraId="699329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0.151</w:t>
            </w:r>
          </w:p>
        </w:tc>
      </w:tr>
      <w:tr w14:paraId="7E2FB3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22F7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SPR</w:t>
            </w:r>
          </w:p>
        </w:tc>
        <w:tc>
          <w:tcPr>
            <w:tcW w:w="0" w:type="auto"/>
            <w:shd w:val="clear"/>
            <w:vAlign w:val="center"/>
          </w:tcPr>
          <w:p w14:paraId="6F50B5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1.365</w:t>
            </w:r>
          </w:p>
        </w:tc>
        <w:tc>
          <w:tcPr>
            <w:tcW w:w="0" w:type="auto"/>
            <w:shd w:val="clear"/>
            <w:vAlign w:val="center"/>
          </w:tcPr>
          <w:p w14:paraId="2D318E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0.094</w:t>
            </w:r>
          </w:p>
        </w:tc>
        <w:tc>
          <w:tcPr>
            <w:tcW w:w="0" w:type="auto"/>
            <w:shd w:val="clear"/>
            <w:vAlign w:val="center"/>
          </w:tcPr>
          <w:p w14:paraId="5E1FAB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1.382</w:t>
            </w:r>
          </w:p>
        </w:tc>
        <w:tc>
          <w:tcPr>
            <w:tcW w:w="0" w:type="auto"/>
            <w:shd w:val="clear"/>
            <w:vAlign w:val="center"/>
          </w:tcPr>
          <w:p w14:paraId="166953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0.110</w:t>
            </w:r>
          </w:p>
        </w:tc>
        <w:tc>
          <w:tcPr>
            <w:tcW w:w="0" w:type="auto"/>
            <w:shd w:val="clear"/>
            <w:vAlign w:val="center"/>
          </w:tcPr>
          <w:p w14:paraId="60F72D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1.441</w:t>
            </w:r>
          </w:p>
        </w:tc>
        <w:tc>
          <w:tcPr>
            <w:tcW w:w="0" w:type="auto"/>
            <w:shd w:val="clear"/>
            <w:vAlign w:val="center"/>
          </w:tcPr>
          <w:p w14:paraId="733DE1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0.145</w:t>
            </w:r>
          </w:p>
        </w:tc>
      </w:tr>
      <w:tr w14:paraId="67B496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51B7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P2S</w:t>
            </w:r>
          </w:p>
        </w:tc>
        <w:tc>
          <w:tcPr>
            <w:tcW w:w="0" w:type="auto"/>
            <w:shd w:val="clear"/>
            <w:vAlign w:val="center"/>
          </w:tcPr>
          <w:p w14:paraId="00C8C6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1.241</w:t>
            </w:r>
          </w:p>
        </w:tc>
        <w:tc>
          <w:tcPr>
            <w:tcW w:w="0" w:type="auto"/>
            <w:shd w:val="clear"/>
            <w:vAlign w:val="center"/>
          </w:tcPr>
          <w:p w14:paraId="3E2919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0.097</w:t>
            </w:r>
          </w:p>
        </w:tc>
        <w:tc>
          <w:tcPr>
            <w:tcW w:w="0" w:type="auto"/>
            <w:shd w:val="clear"/>
            <w:vAlign w:val="center"/>
          </w:tcPr>
          <w:p w14:paraId="6A7CAC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1.264</w:t>
            </w:r>
          </w:p>
        </w:tc>
        <w:tc>
          <w:tcPr>
            <w:tcW w:w="0" w:type="auto"/>
            <w:shd w:val="clear"/>
            <w:vAlign w:val="center"/>
          </w:tcPr>
          <w:p w14:paraId="1B7C44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0.105</w:t>
            </w:r>
          </w:p>
        </w:tc>
        <w:tc>
          <w:tcPr>
            <w:tcW w:w="0" w:type="auto"/>
            <w:shd w:val="clear"/>
            <w:vAlign w:val="center"/>
          </w:tcPr>
          <w:p w14:paraId="006E40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1.382</w:t>
            </w:r>
          </w:p>
        </w:tc>
        <w:tc>
          <w:tcPr>
            <w:tcW w:w="0" w:type="auto"/>
            <w:shd w:val="clear"/>
            <w:vAlign w:val="center"/>
          </w:tcPr>
          <w:p w14:paraId="710547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0.143</w:t>
            </w:r>
          </w:p>
        </w:tc>
      </w:tr>
      <w:tr w14:paraId="371556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B4DA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Ours(本文)</w:t>
            </w:r>
          </w:p>
        </w:tc>
        <w:tc>
          <w:tcPr>
            <w:tcW w:w="0" w:type="auto"/>
            <w:shd w:val="clear"/>
            <w:vAlign w:val="center"/>
          </w:tcPr>
          <w:p w14:paraId="5297BE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1.237</w:t>
            </w:r>
          </w:p>
        </w:tc>
        <w:tc>
          <w:tcPr>
            <w:tcW w:w="0" w:type="auto"/>
            <w:shd w:val="clear"/>
            <w:vAlign w:val="center"/>
          </w:tcPr>
          <w:p w14:paraId="746298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0.086</w:t>
            </w:r>
          </w:p>
        </w:tc>
        <w:tc>
          <w:tcPr>
            <w:tcW w:w="0" w:type="auto"/>
            <w:shd w:val="clear"/>
            <w:vAlign w:val="center"/>
          </w:tcPr>
          <w:p w14:paraId="20AFE5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1.256</w:t>
            </w:r>
          </w:p>
        </w:tc>
        <w:tc>
          <w:tcPr>
            <w:tcW w:w="0" w:type="auto"/>
            <w:shd w:val="clear"/>
            <w:vAlign w:val="center"/>
          </w:tcPr>
          <w:p w14:paraId="1121A6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0.094</w:t>
            </w:r>
          </w:p>
        </w:tc>
        <w:tc>
          <w:tcPr>
            <w:tcW w:w="0" w:type="auto"/>
            <w:shd w:val="clear"/>
            <w:vAlign w:val="center"/>
          </w:tcPr>
          <w:p w14:paraId="13BCE0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1.327</w:t>
            </w:r>
          </w:p>
        </w:tc>
        <w:tc>
          <w:tcPr>
            <w:tcW w:w="0" w:type="auto"/>
            <w:shd w:val="clear"/>
            <w:vAlign w:val="center"/>
          </w:tcPr>
          <w:p w14:paraId="227596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0.117</w:t>
            </w:r>
          </w:p>
        </w:tc>
      </w:tr>
    </w:tbl>
    <w:p w14:paraId="281C9B23">
      <w:pPr>
        <w:pStyle w:val="6"/>
        <w:keepNext w:val="0"/>
        <w:keepLines w:val="0"/>
        <w:widowControl/>
        <w:suppressLineNumbers w:val="0"/>
      </w:pPr>
      <w:r>
        <w:t>同时在ThreeDScans雕塑数据集测试复杂拓扑物体，可视化见图10；即使原始模型拓扑复杂，本文算法依旧可以从原始点云输出可用曲面。</w:t>
      </w:r>
    </w:p>
    <w:p w14:paraId="3B748946">
      <w:pPr>
        <w:pStyle w:val="4"/>
        <w:keepNext w:val="0"/>
        <w:keepLines w:val="0"/>
        <w:widowControl/>
        <w:suppressLineNumbers w:val="0"/>
      </w:pPr>
      <w:r>
        <w:t>5.3 SEF提取器消融实验</w:t>
      </w:r>
    </w:p>
    <w:p w14:paraId="08F5DFFD">
      <w:pPr>
        <w:pStyle w:val="6"/>
        <w:keepNext w:val="0"/>
        <w:keepLines w:val="0"/>
        <w:widowControl/>
        <w:suppressLineNumbers w:val="0"/>
      </w:pPr>
      <w:r>
        <w:t>为验证SEF曲面基元特征提取器对局部几何学习的增益，对SEF内部近邻数k做消融实验，指标使用相对NCE误差（同等训练量），见表4。去掉SEF提取器，仅拼接点特征+全局特征时，无法得到精准逐点贡献，精度下降。对比 (k=5,10,20)，(k=10) 效果最优。SEF是对称子网络，k过大会引入冗余，提升训练难度，不利于局部细节学习；k太小不足以区分噪声，损害局部形状学习。因此全部实验取k=10。</w:t>
      </w:r>
    </w:p>
    <w:p w14:paraId="584BC620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表4 SEF提取器近邻k消融实验（NCE相对值）</w:t>
      </w:r>
    </w:p>
    <w:tbl>
      <w:tblPr>
        <w:tblW w:w="0" w:type="auto"/>
        <w:tblCellSpacing w:w="15" w:type="dxa"/>
        <w:tblInd w:w="7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5"/>
        <w:gridCol w:w="2594"/>
        <w:gridCol w:w="2971"/>
      </w:tblGrid>
      <w:tr w14:paraId="21138E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57253B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设置</w:t>
            </w:r>
          </w:p>
        </w:tc>
        <w:tc>
          <w:tcPr>
            <w:tcW w:w="0" w:type="auto"/>
            <w:shd w:val="clear"/>
            <w:vAlign w:val="center"/>
          </w:tcPr>
          <w:p w14:paraId="6711049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ABC可变噪声NCE(相对)</w:t>
            </w:r>
          </w:p>
        </w:tc>
        <w:tc>
          <w:tcPr>
            <w:tcW w:w="0" w:type="auto"/>
            <w:shd w:val="clear"/>
            <w:vAlign w:val="center"/>
          </w:tcPr>
          <w:p w14:paraId="6092ADA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Famous可变噪声NCE(相对)</w:t>
            </w:r>
          </w:p>
        </w:tc>
      </w:tr>
      <w:tr w14:paraId="39DB6C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CE9D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不使用SEF提取器</w:t>
            </w:r>
          </w:p>
        </w:tc>
        <w:tc>
          <w:tcPr>
            <w:tcW w:w="0" w:type="auto"/>
            <w:shd w:val="clear"/>
            <w:vAlign w:val="center"/>
          </w:tcPr>
          <w:p w14:paraId="76C207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1.12</w:t>
            </w:r>
          </w:p>
        </w:tc>
        <w:tc>
          <w:tcPr>
            <w:tcW w:w="0" w:type="auto"/>
            <w:shd w:val="clear"/>
            <w:vAlign w:val="center"/>
          </w:tcPr>
          <w:p w14:paraId="72E923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1.05</w:t>
            </w:r>
          </w:p>
        </w:tc>
      </w:tr>
      <w:tr w14:paraId="15B999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B8AC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k=5</w:t>
            </w:r>
          </w:p>
        </w:tc>
        <w:tc>
          <w:tcPr>
            <w:tcW w:w="0" w:type="auto"/>
            <w:shd w:val="clear"/>
            <w:vAlign w:val="center"/>
          </w:tcPr>
          <w:p w14:paraId="4F71D2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1.05</w:t>
            </w:r>
          </w:p>
        </w:tc>
        <w:tc>
          <w:tcPr>
            <w:tcW w:w="0" w:type="auto"/>
            <w:shd w:val="clear"/>
            <w:vAlign w:val="center"/>
          </w:tcPr>
          <w:p w14:paraId="4D3C57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1.10</w:t>
            </w:r>
          </w:p>
        </w:tc>
      </w:tr>
      <w:tr w14:paraId="678BFB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49B7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k=10</w:t>
            </w:r>
          </w:p>
        </w:tc>
        <w:tc>
          <w:tcPr>
            <w:tcW w:w="0" w:type="auto"/>
            <w:shd w:val="clear"/>
            <w:vAlign w:val="center"/>
          </w:tcPr>
          <w:p w14:paraId="41CE2D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1.00</w:t>
            </w:r>
          </w:p>
        </w:tc>
        <w:tc>
          <w:tcPr>
            <w:tcW w:w="0" w:type="auto"/>
            <w:shd w:val="clear"/>
            <w:vAlign w:val="center"/>
          </w:tcPr>
          <w:p w14:paraId="23930E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1.00</w:t>
            </w:r>
          </w:p>
        </w:tc>
      </w:tr>
      <w:tr w14:paraId="7D574F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3BE7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k=20</w:t>
            </w:r>
          </w:p>
        </w:tc>
        <w:tc>
          <w:tcPr>
            <w:tcW w:w="0" w:type="auto"/>
            <w:shd w:val="clear"/>
            <w:vAlign w:val="center"/>
          </w:tcPr>
          <w:p w14:paraId="44CCDD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1.18</w:t>
            </w:r>
          </w:p>
        </w:tc>
        <w:tc>
          <w:tcPr>
            <w:tcW w:w="0" w:type="auto"/>
            <w:shd w:val="clear"/>
            <w:vAlign w:val="center"/>
          </w:tcPr>
          <w:p w14:paraId="1005EC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1.09</w:t>
            </w:r>
          </w:p>
        </w:tc>
      </w:tr>
    </w:tbl>
    <w:p w14:paraId="137941C4">
      <w:pPr>
        <w:pStyle w:val="4"/>
        <w:keepNext w:val="0"/>
        <w:keepLines w:val="0"/>
        <w:widowControl/>
        <w:suppressLineNumbers w:val="0"/>
      </w:pPr>
      <w:r>
        <w:t>5.4 和显式重建算法对比</w:t>
      </w:r>
    </w:p>
    <w:p w14:paraId="75789D48">
      <w:pPr>
        <w:pStyle w:val="6"/>
        <w:keepNext w:val="0"/>
        <w:keepLines w:val="0"/>
        <w:widowControl/>
        <w:suppressLineNumbers w:val="0"/>
      </w:pPr>
      <w:r>
        <w:t>绝大多数显式重建算法依靠德劳内三角、沃罗诺伊图生成三角网格，大多也不需要法向量，但显式算法倾向拟合每一个采样点，处理噪声输入效果差。本文和基于形状外壳图、德劳内雕刻的封闭曲面显式重建算法做定性对比，直接使用作者开源代码，参数保持默认。可视化结果见图11。德劳内雕刻算法在干净、不存在薄结构的点云上重建网格质量高；一旦存在薄结构或者噪声输入，重建效果显著劣化。本文算法可以很好处理上述工况，同时尖角边缘还原效果更好。</w:t>
      </w:r>
    </w:p>
    <w:p w14:paraId="2E55806E">
      <w:pPr>
        <w:pStyle w:val="4"/>
        <w:keepNext w:val="0"/>
        <w:keepLines w:val="0"/>
        <w:widowControl/>
        <w:suppressLineNumbers w:val="0"/>
      </w:pPr>
      <w:r>
        <w:t>5.5 缺陷与稀疏采样场景测试</w:t>
      </w:r>
    </w:p>
    <w:p w14:paraId="272D5FEC">
      <w:pPr>
        <w:pStyle w:val="6"/>
        <w:keepNext w:val="0"/>
        <w:keepLines w:val="0"/>
        <w:widowControl/>
        <w:suppressLineNumbers w:val="0"/>
      </w:pPr>
      <w:r>
        <w:t>点云除噪声外还存在其他缺陷：例如扫描遮挡带来孔洞（雕像底部扫描不到）。数据驱动算法应对孔洞缺陷最有效的方式，是训练数据中加入同类缺陷，让网络学习补全逻辑。本文训练时，50%的ABC训练模型随机生成半径0</w:t>
      </w:r>
      <w:r>
        <w:noBreakHyphen/>
      </w:r>
      <w:r>
        <w:t>0.3的孔洞，以原始真值指示函数做监督；训练完成的模型可以很好处理存在缺失区域的点云。对比SPR分别搭配Meshlab</w:t>
      </w:r>
      <w:r>
        <w:noBreakHyphen/>
      </w:r>
      <w:r>
        <w:t>PCA法向估计、PCPNet法向估计的效果，见图12，本文能够有效闭合点云的孔洞。</w:t>
      </w:r>
    </w:p>
    <w:p w14:paraId="32C5F1C7">
      <w:pPr>
        <w:pStyle w:val="6"/>
        <w:keepNext w:val="0"/>
        <w:keepLines w:val="0"/>
        <w:widowControl/>
        <w:suppressLineNumbers w:val="0"/>
      </w:pPr>
      <w:r>
        <w:t>不同任务采样密度需求不同，本文测试稀疏采样工况：ABC训练集采样点数1000</w:t>
      </w:r>
      <w:r>
        <w:noBreakHyphen/>
      </w:r>
      <w:r>
        <w:t>5000，测试集使用Famous数据集。网络局部面片大小 (n_d=30)，SEF提取器k=5。重建结果见图13，两个测试样例采样点数量分别为3131、2317；第二个模型耳朵位置点云十分稀疏、形状尖锐，本文依旧完成较好重建。该实验说明：只要训练集采样分布贴合测试场景，算法就可以适配各类输入；如果测试集采样密度和训练集差距过大，则重建效果会下降。</w:t>
      </w:r>
    </w:p>
    <w:p w14:paraId="27D3DA9C">
      <w:pPr>
        <w:pStyle w:val="3"/>
        <w:keepNext w:val="0"/>
        <w:keepLines w:val="0"/>
        <w:widowControl/>
        <w:suppressLineNumbers w:val="0"/>
      </w:pPr>
      <w:r>
        <w:t>6 结论</w:t>
      </w:r>
    </w:p>
    <w:p w14:paraId="09F821A5">
      <w:pPr>
        <w:pStyle w:val="6"/>
        <w:keepNext w:val="0"/>
        <w:keepLines w:val="0"/>
        <w:widowControl/>
        <w:suppressLineNumbers w:val="0"/>
      </w:pPr>
      <w:r>
        <w:t>本文提出深度学习框架，直接从无方向点云中学习改进指示函数；首次将高斯引理引入深度学习重建任务。网络学习精准局部几何属性，融合多尺度特征，依靠网络内部逐点贡献求和完成曲面积分。大量实验证明，噪声输入条件下该方法可以输出光滑高精度重建曲面，性能优于当前SOTA数据驱动与非数据驱动重建算法。</w:t>
      </w:r>
    </w:p>
    <w:p w14:paraId="746EC9F3">
      <w:pPr>
        <w:pStyle w:val="6"/>
        <w:keepNext w:val="0"/>
        <w:keepLines w:val="0"/>
        <w:widowControl/>
        <w:suppressLineNumbers w:val="0"/>
      </w:pPr>
      <w:r>
        <w:t>本文算法仍存在部分局限，很多也是深度学习重建方法的共性问题。推理速度偏慢，实验环境下单模型重建网格约耗时200秒；但时间复杂度不会随点云数量明显增长，并且不需要法向量输入。尽管对比其他深度学习重建方法曲面更光滑，但各个查询点预测依旧相互独立，部分复杂物体曲面附近会出现细碎伪影（见图8第二个例子）。未来工作方向：引入隐式函数高阶性质（例如梯度）参与监督；利用查询点之间高阶约束，是基于学习的隐式表示值得探索的方向。</w:t>
      </w:r>
    </w:p>
    <w:p w14:paraId="66A03D1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02C4F6"/>
    <w:multiLevelType w:val="multilevel"/>
    <w:tmpl w:val="8402C4F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0DFBC91"/>
    <w:multiLevelType w:val="multilevel"/>
    <w:tmpl w:val="A0DFBC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BE63FC2D"/>
    <w:multiLevelType w:val="multilevel"/>
    <w:tmpl w:val="BE63FC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041D2F10"/>
    <w:multiLevelType w:val="multilevel"/>
    <w:tmpl w:val="041D2F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1BC10755"/>
    <w:multiLevelType w:val="multilevel"/>
    <w:tmpl w:val="1BC1075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1C3A0F9D"/>
    <w:multiLevelType w:val="multilevel"/>
    <w:tmpl w:val="1C3A0F9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61FCE189"/>
    <w:multiLevelType w:val="multilevel"/>
    <w:tmpl w:val="61FCE18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6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A64C9F"/>
    <w:rsid w:val="02D07896"/>
    <w:rsid w:val="02DB4A76"/>
    <w:rsid w:val="0A0253E7"/>
    <w:rsid w:val="0B512389"/>
    <w:rsid w:val="0B6A74F6"/>
    <w:rsid w:val="0B883330"/>
    <w:rsid w:val="0C670539"/>
    <w:rsid w:val="0E2E2965"/>
    <w:rsid w:val="0FBD0376"/>
    <w:rsid w:val="121F54DF"/>
    <w:rsid w:val="12702954"/>
    <w:rsid w:val="169E7156"/>
    <w:rsid w:val="16F977D9"/>
    <w:rsid w:val="174D721D"/>
    <w:rsid w:val="190039B6"/>
    <w:rsid w:val="198013B1"/>
    <w:rsid w:val="19DD6B30"/>
    <w:rsid w:val="1BB6077E"/>
    <w:rsid w:val="1DC927EC"/>
    <w:rsid w:val="1E0F3555"/>
    <w:rsid w:val="20346F40"/>
    <w:rsid w:val="21ED5F43"/>
    <w:rsid w:val="229B4080"/>
    <w:rsid w:val="229F2BA7"/>
    <w:rsid w:val="22FD44C6"/>
    <w:rsid w:val="23B616F5"/>
    <w:rsid w:val="244C17D2"/>
    <w:rsid w:val="24586AA2"/>
    <w:rsid w:val="24763408"/>
    <w:rsid w:val="25234997"/>
    <w:rsid w:val="26CE348A"/>
    <w:rsid w:val="26CE3B8E"/>
    <w:rsid w:val="273A4D87"/>
    <w:rsid w:val="274C3F87"/>
    <w:rsid w:val="277E6E9A"/>
    <w:rsid w:val="28BE51F4"/>
    <w:rsid w:val="2CA64C9F"/>
    <w:rsid w:val="2F300857"/>
    <w:rsid w:val="33BE5215"/>
    <w:rsid w:val="33F674AE"/>
    <w:rsid w:val="35111DED"/>
    <w:rsid w:val="3548728A"/>
    <w:rsid w:val="39F26B1E"/>
    <w:rsid w:val="3CF77AC2"/>
    <w:rsid w:val="3D484F01"/>
    <w:rsid w:val="3DB34C73"/>
    <w:rsid w:val="3E2B0960"/>
    <w:rsid w:val="40E22A96"/>
    <w:rsid w:val="44AE0F07"/>
    <w:rsid w:val="453E7D3F"/>
    <w:rsid w:val="46702EB3"/>
    <w:rsid w:val="46C71EF3"/>
    <w:rsid w:val="4801700B"/>
    <w:rsid w:val="4B5A5C79"/>
    <w:rsid w:val="4C0F5FCA"/>
    <w:rsid w:val="4C863FC2"/>
    <w:rsid w:val="4E7963B6"/>
    <w:rsid w:val="4F6909FE"/>
    <w:rsid w:val="5067166D"/>
    <w:rsid w:val="50BC448D"/>
    <w:rsid w:val="526A1801"/>
    <w:rsid w:val="53F90CAB"/>
    <w:rsid w:val="566C1FA1"/>
    <w:rsid w:val="59152548"/>
    <w:rsid w:val="59B53DA5"/>
    <w:rsid w:val="5AA52B8F"/>
    <w:rsid w:val="5B811EDB"/>
    <w:rsid w:val="5BAA748F"/>
    <w:rsid w:val="5D3F0DD7"/>
    <w:rsid w:val="5DF301A3"/>
    <w:rsid w:val="626051E2"/>
    <w:rsid w:val="6495324A"/>
    <w:rsid w:val="65254E1B"/>
    <w:rsid w:val="65B92522"/>
    <w:rsid w:val="690404D0"/>
    <w:rsid w:val="6AEB427B"/>
    <w:rsid w:val="6BE71685"/>
    <w:rsid w:val="6CAA4166"/>
    <w:rsid w:val="6D5A24A3"/>
    <w:rsid w:val="6D995B50"/>
    <w:rsid w:val="6F36708A"/>
    <w:rsid w:val="70CE0C72"/>
    <w:rsid w:val="71050CA4"/>
    <w:rsid w:val="711F6A9A"/>
    <w:rsid w:val="740545F7"/>
    <w:rsid w:val="74C51BA1"/>
    <w:rsid w:val="76CA7994"/>
    <w:rsid w:val="7B830AA2"/>
    <w:rsid w:val="7B907A1A"/>
    <w:rsid w:val="7BEA1CA7"/>
    <w:rsid w:val="7C93006A"/>
    <w:rsid w:val="7D212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Emphasis"/>
    <w:basedOn w:val="8"/>
    <w:qFormat/>
    <w:uiPriority w:val="0"/>
    <w:rPr>
      <w:i/>
    </w:rPr>
  </w:style>
  <w:style w:type="character" w:styleId="11">
    <w:name w:val="Hyperlink"/>
    <w:basedOn w:val="8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2026-10-11T12:29:00Z</dcterms:created>
  <dc:creator>陈晓峻</dc:creator>
  <cp:lastModifiedBy>陈晓峻</cp:lastModifiedBy>
  <dcterms:modified xsi:type="dcterms:W3CDTF">2026-10-11T12:30:57Z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F866B70AB46D40D59A7A6B6697E5B05C_11</vt:lpwstr>
  </property>
  <property fmtid="{D5CDD505-2E9C-101B-9397-08002B2CF9AE}" pid="4" name="KSOTemplateDocerSaveRecord">
    <vt:lpwstr>eyJoZGlkIjoiOTc1MGQzZTI0Y2NhZmU4NWE4ZWUyZDNjMDZhZGE1ZTMiLCJ1c2VySWQiOiIxNjQyOTg5ODY3In0=</vt:lpwstr>
  </property>
</Properties>
</file>