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Microsoft YaHei" w:hAnsi="Microsoft YaHei" w:eastAsia="Microsoft YaHei"/>
          <w:b/>
          <w:color w:val="1F4D78"/>
          <w:sz w:val="50"/>
        </w:rPr>
        <w:t>亚马逊商品推广广告</w:t>
      </w:r>
    </w:p>
    <w:p>
      <w:pPr>
        <w:spacing w:after="280"/>
      </w:pPr>
      <w:r>
        <w:rPr>
          <w:rFonts w:ascii="Microsoft YaHei" w:hAnsi="Microsoft YaHei" w:eastAsia="Microsoft YaHei"/>
          <w:b/>
          <w:color w:val="2E74B5"/>
          <w:sz w:val="34"/>
        </w:rPr>
        <w:t>进阶广告诊断与优化全指导 - 文字改述版</w:t>
      </w:r>
    </w:p>
    <w:p>
      <w:pPr>
        <w:spacing w:after="240"/>
      </w:pPr>
      <w:r>
        <w:rPr>
          <w:rFonts w:ascii="Microsoft YaHei" w:hAnsi="Microsoft YaHei" w:eastAsia="Microsoft YaHei"/>
          <w:color w:val="666666"/>
          <w:sz w:val="21"/>
        </w:rPr>
        <w:t>基于《亚马逊专题课 - 进阶广告诊断有优化全指导（商品推广广告）》的完整文字化改述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原始资料</w:t>
            </w:r>
          </w:p>
        </w:tc>
        <w:tc>
          <w:tcPr>
            <w:tcW w:type="dxa" w:w="75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Amazon 全球开店官方讲堂课件，143 页；封面标注讲师李尚明。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本稿处理方式</w:t>
            </w:r>
          </w:p>
        </w:tc>
        <w:tc>
          <w:tcPr>
            <w:tcW w:type="dxa" w:w="756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用自己的语言重组课件，不复制课件截图、商品图或后台界面。案例仅保留可读的业务背景、指标和结论。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阅读边界</w:t>
            </w:r>
          </w:p>
        </w:tc>
        <w:tc>
          <w:tcPr>
            <w:tcW w:type="dxa" w:w="75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这是课程内容的改述，不是对每个策略或阈值的独立验证。平台功能、报告字段、基准区间和竞价规则可能随站点及时间变化。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阅读建议</w:t>
            </w:r>
          </w:p>
        </w:tc>
        <w:tc>
          <w:tcPr>
            <w:tcW w:type="dxa" w:w="756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先看“总方法”和“诊断表”，再按自己遇到的问题进入 ACOS、搜索词、广告位、预算、关键词或生命周期章节。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 xml:space="preserve">课程的核心思想  </w:t>
            </w:r>
            <w:r>
              <w:rPr>
                <w:rFonts w:ascii="Microsoft YaHei" w:hAnsi="Microsoft YaHei" w:eastAsia="Microsoft YaHei"/>
                <w:color w:val="202124"/>
                <w:sz w:val="20"/>
              </w:rPr>
              <w:t>先判断销量、利润或库存问题是否确实由广告造成；只有排除选品、价格、详情页和供给等非广告因素后，才把报告数据转化为可执行的广告调整。</w:t>
            </w:r>
          </w:p>
        </w:tc>
      </w:tr>
    </w:tbl>
    <w:p>
      <w:pPr>
        <w:spacing w:after="40"/>
      </w:pPr>
    </w:p>
    <w:p>
      <w:pPr>
        <w:pStyle w:val="Heading1"/>
      </w:pPr>
      <w:r>
        <w:t>一、课程地图：从诊断到持续优化</w:t>
      </w:r>
    </w:p>
    <w:p>
      <w:pPr>
        <w:spacing w:after="120" w:line="269" w:lineRule="auto"/>
      </w:pPr>
      <w:r>
        <w:rPr>
          <w:rFonts w:ascii="Microsoft YaHei" w:hAnsi="Microsoft YaHei" w:eastAsia="Microsoft YaHei"/>
          <w:i w:val="0"/>
          <w:color w:val="202124"/>
          <w:sz w:val="21"/>
        </w:rPr>
        <w:t>课程围绕商品推广广告展开，试图回答三类常见困惑：广告 ACOS 偏高如何处理；学过很多方法但看不懂报表；投入广告后产品仍缺乏增长。它把工作分成四块：广告诊断、广告优化、投放常见问题和广告规划。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500"/>
        <w:gridCol w:w="4700"/>
        <w:gridCol w:w="31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层级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课程要求先检查什么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目的</w:t>
            </w:r>
          </w:p>
        </w:tc>
      </w:tr>
      <w:tr>
        <w:tc>
          <w:tcPr>
            <w:tcW w:type="dxa" w:w="15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整体账户</w:t>
            </w:r>
          </w:p>
        </w:tc>
        <w:tc>
          <w:tcPr>
            <w:tcW w:type="dxa" w:w="47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广告管理器与账户整体信息</w:t>
            </w:r>
          </w:p>
        </w:tc>
        <w:tc>
          <w:tcPr>
            <w:tcW w:type="dxa" w:w="31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先确认数据是否完整、商品是否有可比较的经营背景。</w:t>
            </w:r>
          </w:p>
        </w:tc>
      </w:tr>
      <w:tr>
        <w:tc>
          <w:tcPr>
            <w:tcW w:type="dxa" w:w="15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广告商品</w:t>
            </w:r>
          </w:p>
        </w:tc>
        <w:tc>
          <w:tcPr>
            <w:tcW w:type="dxa" w:w="47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推广商品报告、业务报告、库存报告</w:t>
            </w:r>
          </w:p>
        </w:tc>
        <w:tc>
          <w:tcPr>
            <w:tcW w:type="dxa" w:w="316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把广告数据、总销售和库存风险放在同一张 SKU 表中。</w:t>
            </w:r>
          </w:p>
        </w:tc>
      </w:tr>
      <w:tr>
        <w:tc>
          <w:tcPr>
            <w:tcW w:type="dxa" w:w="15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广告投放</w:t>
            </w:r>
          </w:p>
        </w:tc>
        <w:tc>
          <w:tcPr>
            <w:tcW w:type="dxa" w:w="47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投放报告、搜索词报告、广告位报告、广告活动报告、预算报告</w:t>
            </w:r>
          </w:p>
        </w:tc>
        <w:tc>
          <w:tcPr>
            <w:tcW w:type="dxa" w:w="31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区分自动、商品和关键词投放，并找到真正需要调整的对象。</w:t>
            </w:r>
          </w:p>
        </w:tc>
      </w:tr>
      <w:tr>
        <w:tc>
          <w:tcPr>
            <w:tcW w:type="dxa" w:w="15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客户搜索词</w:t>
            </w:r>
          </w:p>
        </w:tc>
        <w:tc>
          <w:tcPr>
            <w:tcW w:type="dxa" w:w="47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搜索词与搜索词展示量份额数据</w:t>
            </w:r>
          </w:p>
        </w:tc>
        <w:tc>
          <w:tcPr>
            <w:tcW w:type="dxa" w:w="316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寻找可扩展的高转化需求，并判断目标词的竞争位置。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Microsoft YaHei" w:hAnsi="Microsoft YaHei" w:eastAsia="Microsoft YaHei"/>
          <w:i w:val="0"/>
          <w:color w:val="202124"/>
          <w:sz w:val="21"/>
        </w:rPr>
        <w:t>课程用 PDCA 的循环组织日常工作：先规划广告目标和选词方法，再投放并积累数据，随后诊断“广告 + Listing”是否存在瓶颈，最后按结论优化。广告不是孤立模块；商品本身和详情页质量会决定广告流量能否转为订单。</w:t>
      </w:r>
    </w:p>
    <w:p>
      <w:pPr>
        <w:pStyle w:val="Heading1"/>
      </w:pPr>
      <w:r>
        <w:t>二、广告诊断：先定位问题，再决定是否改广告</w:t>
      </w:r>
    </w:p>
    <w:p>
      <w:pPr>
        <w:pStyle w:val="Heading2"/>
      </w:pPr>
      <w:r>
        <w:t>1. 诊断的三个步骤</w:t>
      </w:r>
    </w:p>
    <w:p>
      <w:pPr>
        <w:pStyle w:val="ListNumber"/>
        <w:spacing w:after="80" w:line="269" w:lineRule="auto"/>
        <w:ind w:left="461" w:hanging="317"/>
      </w:pPr>
      <w:r>
        <w:rPr>
          <w:rFonts w:ascii="Microsoft YaHei" w:hAnsi="Microsoft YaHei" w:eastAsia="Microsoft YaHei"/>
          <w:color w:val="202124"/>
          <w:sz w:val="21"/>
        </w:rPr>
        <w:t>制作分析报表，给每个 SKU 建立同一口径的数据视图，并确定优先级。</w:t>
      </w:r>
    </w:p>
    <w:p>
      <w:pPr>
        <w:pStyle w:val="ListNumber"/>
        <w:spacing w:after="80" w:line="269" w:lineRule="auto"/>
        <w:ind w:left="461" w:hanging="317"/>
      </w:pPr>
      <w:r>
        <w:rPr>
          <w:rFonts w:ascii="Microsoft YaHei" w:hAnsi="Microsoft YaHei" w:eastAsia="Microsoft YaHei"/>
          <w:color w:val="202124"/>
          <w:sz w:val="21"/>
        </w:rPr>
        <w:t>分析数据并排除非广告因素，例如搜索需求、竞品、价格、详情页、库存与产品自身转化问题。</w:t>
      </w:r>
    </w:p>
    <w:p>
      <w:pPr>
        <w:pStyle w:val="ListNumber"/>
        <w:spacing w:after="80" w:line="269" w:lineRule="auto"/>
        <w:ind w:left="461" w:hanging="317"/>
      </w:pPr>
      <w:r>
        <w:rPr>
          <w:rFonts w:ascii="Microsoft YaHei" w:hAnsi="Microsoft YaHei" w:eastAsia="Microsoft YaHei"/>
          <w:color w:val="202124"/>
          <w:sz w:val="21"/>
        </w:rPr>
        <w:t>在确认广告确实是主要变量后，定位问题属于曝光、点击、销量、盈利还是预算与投放结构。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 xml:space="preserve">先后顺序  </w:t>
            </w:r>
            <w:r>
              <w:rPr>
                <w:rFonts w:ascii="Microsoft YaHei" w:hAnsi="Microsoft YaHei" w:eastAsia="Microsoft YaHei"/>
                <w:color w:val="202124"/>
                <w:sz w:val="20"/>
              </w:rPr>
              <w:t>课程反复强调：不要因为 ACOS 高就立刻动竞价。先排除选品和详情页问题，否则会把产品问题误判成广告问题。</w:t>
            </w:r>
          </w:p>
        </w:tc>
      </w:tr>
    </w:tbl>
    <w:p>
      <w:pPr>
        <w:spacing w:after="40"/>
      </w:pPr>
    </w:p>
    <w:p>
      <w:pPr>
        <w:pStyle w:val="Heading2"/>
      </w:pPr>
      <w:r>
        <w:t>2. 建表所需报告与数据口径</w:t>
      </w:r>
    </w:p>
    <w:p>
      <w:pPr>
        <w:spacing w:after="120" w:line="269" w:lineRule="auto"/>
      </w:pPr>
      <w:r>
        <w:rPr>
          <w:rFonts w:ascii="Microsoft YaHei" w:hAnsi="Microsoft YaHei" w:eastAsia="Microsoft YaHei"/>
          <w:i w:val="0"/>
          <w:color w:val="202124"/>
          <w:sz w:val="21"/>
        </w:rPr>
        <w:t>课程建议以推广商品报告为核心，辅以业务报告和库存分类账。推广商品报告可按 ASIN 汇总广告侧数据；业务报告用于查看 SKU 的整体销售与访问；库存分类账用来追溯历史时点的库存。已购买商品报告则用于识别顾客点击广告后最终购买的 ASIN，帮助判断关联销售。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4100"/>
        <w:gridCol w:w="29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报告 / 数据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课程中的主要用途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提醒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推广商品报告（Advertised Product）</w:t>
            </w:r>
          </w:p>
        </w:tc>
        <w:tc>
          <w:tcPr>
            <w:tcW w:type="dxa" w:w="41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按推广 ASIN 汇总曝光、点击、花费、广告销售、订单等。</w:t>
            </w:r>
          </w:p>
        </w:tc>
        <w:tc>
          <w:tcPr>
            <w:tcW w:type="dxa" w:w="29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用于了解广告投放是否有效；报告字段与归因窗口需按当前站点核对。</w:t>
            </w:r>
          </w:p>
        </w:tc>
      </w:tr>
      <w:tr>
        <w:tc>
          <w:tcPr>
            <w:tcW w:type="dxa" w:w="23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业务报告</w:t>
            </w:r>
          </w:p>
        </w:tc>
        <w:tc>
          <w:tcPr>
            <w:tcW w:type="dxa" w:w="41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查看总销售、会话和详情页访问，从而补足广告归因之外的经营结果。</w:t>
            </w:r>
          </w:p>
        </w:tc>
        <w:tc>
          <w:tcPr>
            <w:tcW w:type="dxa" w:w="296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广告销售不等于总销售，不能替代整体经营视角。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库存分类账</w:t>
            </w:r>
          </w:p>
        </w:tc>
        <w:tc>
          <w:tcPr>
            <w:tcW w:type="dxa" w:w="41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查看历史库存并估算库存可支撑的销售周期。</w:t>
            </w:r>
          </w:p>
        </w:tc>
        <w:tc>
          <w:tcPr>
            <w:tcW w:type="dxa" w:w="29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应使用与销售窗口一致的历史库存，而不是只看今天库存。</w:t>
            </w:r>
          </w:p>
        </w:tc>
      </w:tr>
      <w:tr>
        <w:tc>
          <w:tcPr>
            <w:tcW w:type="dxa" w:w="23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已购买商品报告</w:t>
            </w:r>
          </w:p>
        </w:tc>
        <w:tc>
          <w:tcPr>
            <w:tcW w:type="dxa" w:w="41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比较广告 ASIN 与顾客实际购买 ASIN，发现关联购买。</w:t>
            </w:r>
          </w:p>
        </w:tc>
        <w:tc>
          <w:tcPr>
            <w:tcW w:type="dxa" w:w="296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先筛除其他 SKU 销量为零的噪声，再判断关联性。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投放 / 搜索词 / 广告位 / 活动 / 预算报告</w:t>
            </w:r>
          </w:p>
        </w:tc>
        <w:tc>
          <w:tcPr>
            <w:tcW w:type="dxa" w:w="41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分别诊断投放对象、客户搜索词、展示位置、时间段和在线时长。</w:t>
            </w:r>
          </w:p>
        </w:tc>
        <w:tc>
          <w:tcPr>
            <w:tcW w:type="dxa" w:w="29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课程建议定期下载和归档；具体可取得的时间范围以当前后台为准。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Microsoft YaHei" w:hAnsi="Microsoft YaHei" w:eastAsia="Microsoft YaHei"/>
          <w:i w:val="0"/>
          <w:color w:val="202124"/>
          <w:sz w:val="21"/>
        </w:rPr>
        <w:t>在课件的练习中，建议按周下载，回看约 4-8 周数据，并把 7 天归因数据放进同一张表；课件还提醒推广商品报告的有效期有限，应该及时留存。这里是课程操作口径，不应直接当作所有站点的固定保存或归因规则。</w:t>
      </w:r>
    </w:p>
    <w:p>
      <w:pPr>
        <w:pStyle w:val="Heading2"/>
      </w:pPr>
      <w:r>
        <w:t>3. 指标：先弄清定义，再谈高低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350"/>
        <w:gridCol w:w="3900"/>
        <w:gridCol w:w="411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指标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课程中的含义 / 计算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诊断角色</w:t>
            </w:r>
          </w:p>
        </w:tc>
      </w:tr>
      <w:tr>
        <w:tc>
          <w:tcPr>
            <w:tcW w:type="dxa" w:w="135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曝光、点击</w:t>
            </w:r>
          </w:p>
        </w:tc>
        <w:tc>
          <w:tcPr>
            <w:tcW w:type="dxa" w:w="39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广告被展示的次数；买家点击广告进入商品页的次数。</w:t>
            </w:r>
          </w:p>
        </w:tc>
        <w:tc>
          <w:tcPr>
            <w:tcW w:type="dxa" w:w="411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对应广告漏斗的上游需求与点击意愿。</w:t>
            </w:r>
          </w:p>
        </w:tc>
      </w:tr>
      <w:tr>
        <w:tc>
          <w:tcPr>
            <w:tcW w:type="dxa" w:w="135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CTR</w:t>
            </w:r>
          </w:p>
        </w:tc>
        <w:tc>
          <w:tcPr>
            <w:tcW w:type="dxa" w:w="39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点击量 / 曝光量。</w:t>
            </w:r>
          </w:p>
        </w:tc>
        <w:tc>
          <w:tcPr>
            <w:tcW w:type="dxa" w:w="411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用于初步判断搜索词匹配、主图、价格和展示吸引力。</w:t>
            </w:r>
          </w:p>
        </w:tc>
      </w:tr>
      <w:tr>
        <w:tc>
          <w:tcPr>
            <w:tcW w:type="dxa" w:w="135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CPC</w:t>
            </w:r>
          </w:p>
        </w:tc>
        <w:tc>
          <w:tcPr>
            <w:tcW w:type="dxa" w:w="39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广告花费 / 点击量。</w:t>
            </w:r>
          </w:p>
        </w:tc>
        <w:tc>
          <w:tcPr>
            <w:tcW w:type="dxa" w:w="411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反映获取一次点击的成本，常受竞价、竞争与投放位置影响。</w:t>
            </w:r>
          </w:p>
        </w:tc>
      </w:tr>
      <w:tr>
        <w:tc>
          <w:tcPr>
            <w:tcW w:type="dxa" w:w="135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CR</w:t>
            </w:r>
          </w:p>
        </w:tc>
        <w:tc>
          <w:tcPr>
            <w:tcW w:type="dxa" w:w="39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订单量 / 点击量。</w:t>
            </w:r>
          </w:p>
        </w:tc>
        <w:tc>
          <w:tcPr>
            <w:tcW w:type="dxa" w:w="411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判断流量进入详情页后是否能转化。</w:t>
            </w:r>
          </w:p>
        </w:tc>
      </w:tr>
      <w:tr>
        <w:tc>
          <w:tcPr>
            <w:tcW w:type="dxa" w:w="135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ACOS</w:t>
            </w:r>
          </w:p>
        </w:tc>
        <w:tc>
          <w:tcPr>
            <w:tcW w:type="dxa" w:w="39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广告花费 / 广告销售额。</w:t>
            </w:r>
          </w:p>
        </w:tc>
        <w:tc>
          <w:tcPr>
            <w:tcW w:type="dxa" w:w="411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衡量广告归因销售下的投入产出。</w:t>
            </w:r>
          </w:p>
        </w:tc>
      </w:tr>
      <w:tr>
        <w:tc>
          <w:tcPr>
            <w:tcW w:type="dxa" w:w="135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TACOS</w:t>
            </w:r>
          </w:p>
        </w:tc>
        <w:tc>
          <w:tcPr>
            <w:tcW w:type="dxa" w:w="39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广告总花费 / 总销售额（自然 + 广告）。</w:t>
            </w:r>
          </w:p>
        </w:tc>
        <w:tc>
          <w:tcPr>
            <w:tcW w:type="dxa" w:w="411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课程用它检视广告对全店销售的总体压力。</w:t>
            </w:r>
          </w:p>
        </w:tc>
      </w:tr>
      <w:tr>
        <w:tc>
          <w:tcPr>
            <w:tcW w:type="dxa" w:w="135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ROAS</w:t>
            </w:r>
          </w:p>
        </w:tc>
        <w:tc>
          <w:tcPr>
            <w:tcW w:type="dxa" w:w="39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广告销售额 / 广告花费。</w:t>
            </w:r>
          </w:p>
        </w:tc>
        <w:tc>
          <w:tcPr>
            <w:tcW w:type="dxa" w:w="411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是 ACOS 的倒数视角。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Microsoft YaHei" w:hAnsi="Microsoft YaHei" w:eastAsia="Microsoft YaHei"/>
          <w:i w:val="0"/>
          <w:color w:val="202124"/>
          <w:sz w:val="21"/>
        </w:rPr>
        <w:t>课件把广告看作两部分效果：直接带来广告贡献销售，以及可能伴随排名或曝光变化而出现的自然销售。因此只看 ACOS 容易忽略整体盈利，TACOS 是补充视角；但两者都需要与毛利、库存、目标和归因口径一起解释。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 xml:space="preserve">课程的利润判断口径  </w:t>
            </w:r>
            <w:r>
              <w:rPr>
                <w:rFonts w:ascii="Microsoft YaHei" w:hAnsi="Microsoft YaHei" w:eastAsia="Microsoft YaHei"/>
                <w:color w:val="202124"/>
                <w:sz w:val="20"/>
              </w:rPr>
              <w:t>课件用“广告花费 / 总销售额不高于毛利率”来判断整体是否亏本，并给出 ACOS 与毛利率倍数的比较方法。它是教学中的粗略经营判断，实际决策还应纳入退款、税费、仓储、促销、现金流和归因差异。</w:t>
            </w:r>
          </w:p>
        </w:tc>
      </w:tr>
    </w:tbl>
    <w:p>
      <w:pPr>
        <w:spacing w:after="40"/>
      </w:pPr>
    </w:p>
    <w:p>
      <w:pPr>
        <w:pStyle w:val="Heading2"/>
      </w:pPr>
      <w:r>
        <w:t>4. SKU 优先级与室内坐垫案例</w:t>
      </w:r>
    </w:p>
    <w:p>
      <w:pPr>
        <w:spacing w:after="120" w:line="269" w:lineRule="auto"/>
      </w:pPr>
      <w:r>
        <w:rPr>
          <w:rFonts w:ascii="Microsoft YaHei" w:hAnsi="Microsoft YaHei" w:eastAsia="Microsoft YaHei"/>
          <w:i w:val="0"/>
          <w:color w:val="202124"/>
          <w:sz w:val="21"/>
        </w:rPr>
        <w:t>课件以室内坐垫 seat cushion 的 4 个变体演示诊断表。每个 SKU 独立投放，包括自动、手动关键词和手动商品投放；教学假设毛利率均为 30%。案例的关键不是复制同样的阈值，而是按“点击样本是否够、整体是否亏本、库存是否有风险”排序。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500"/>
        <w:gridCol w:w="4620"/>
        <w:gridCol w:w="324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变体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课件可读出的数据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课件结论 / 处理方向</w:t>
            </w:r>
          </w:p>
        </w:tc>
      </w:tr>
      <w:tr>
        <w:tc>
          <w:tcPr>
            <w:tcW w:type="dxa" w:w="15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A 灰单</w:t>
            </w:r>
          </w:p>
        </w:tc>
        <w:tc>
          <w:tcPr>
            <w:tcW w:type="dxa" w:w="462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曝光 235,017；点击 1,220；CTR 0.52%；CR 4.75%；ACOS 43.33%；TACOS 42.43%。</w:t>
            </w:r>
          </w:p>
        </w:tc>
        <w:tc>
          <w:tcPr>
            <w:tcW w:type="dxa" w:w="324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数据量较大且 ACOS、TACOS 高于教学假设的 30% 毛利口径，纳入广告优化。</w:t>
            </w:r>
          </w:p>
        </w:tc>
      </w:tr>
      <w:tr>
        <w:tc>
          <w:tcPr>
            <w:tcW w:type="dxa" w:w="15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B 黑单</w:t>
            </w:r>
          </w:p>
        </w:tc>
        <w:tc>
          <w:tcPr>
            <w:tcW w:type="dxa" w:w="462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曝光 181,424；点击 897；CTR 0.49%；CR 3.90%；ACOS 63.86%；TACOS 33.89%。</w:t>
            </w:r>
          </w:p>
        </w:tc>
        <w:tc>
          <w:tcPr>
            <w:tcW w:type="dxa" w:w="324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点击样本足够且亏本，课件将其列为优先广告优化对象。</w:t>
            </w:r>
          </w:p>
        </w:tc>
      </w:tr>
      <w:tr>
        <w:tc>
          <w:tcPr>
            <w:tcW w:type="dxa" w:w="15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C 黑套</w:t>
            </w:r>
          </w:p>
        </w:tc>
        <w:tc>
          <w:tcPr>
            <w:tcW w:type="dxa" w:w="462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曝光 120,404；点击 843；CTR 0.70%；CR 2.85%；ACOS 54.22%；TACOS 35.66%。</w:t>
            </w:r>
          </w:p>
        </w:tc>
        <w:tc>
          <w:tcPr>
            <w:tcW w:type="dxa" w:w="324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课件进一步检查后认为重点不只是广告，需检查销售 / 商品层面原因。</w:t>
            </w:r>
          </w:p>
        </w:tc>
      </w:tr>
      <w:tr>
        <w:tc>
          <w:tcPr>
            <w:tcW w:type="dxa" w:w="15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D 灰套</w:t>
            </w:r>
          </w:p>
        </w:tc>
        <w:tc>
          <w:tcPr>
            <w:tcW w:type="dxa" w:w="462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曝光 48,448；点击 284；CTR 0.59%；CR 1.41%；ACOS 137.47%；TACOS 14.57%。</w:t>
            </w:r>
          </w:p>
        </w:tc>
        <w:tc>
          <w:tcPr>
            <w:tcW w:type="dxa" w:w="324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先被归为非广告问题，提示应追查销量与商品原因，而非只改投放。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Microsoft YaHei" w:hAnsi="Microsoft YaHei" w:eastAsia="Microsoft YaHei"/>
          <w:i w:val="0"/>
          <w:color w:val="202124"/>
          <w:sz w:val="21"/>
        </w:rPr>
        <w:t>该案例还使用“预计销售月数”判断库存风险：以当前库存相对平均销售速度估计可以支撑多久。课件把低于约 1.5 个月视为断货风险、超过约 3 个月视为可能影响库存绩效的信号，并提醒不要脱离库存周转去判断销量问题。这个区间属于课件案例口径。</w:t>
      </w:r>
    </w:p>
    <w:p>
      <w:pPr>
        <w:pStyle w:val="Heading2"/>
      </w:pPr>
      <w:r>
        <w:t>5. 排除非广告因素：沿广告漏斗逐层检查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550"/>
        <w:gridCol w:w="2800"/>
        <w:gridCol w:w="501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漏斗环节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问题表现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课程建议的排查方向</w:t>
            </w:r>
          </w:p>
        </w:tc>
      </w:tr>
      <w:tr>
        <w:tc>
          <w:tcPr>
            <w:tcW w:type="dxa" w:w="155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搜索量 / 曝光</w:t>
            </w:r>
          </w:p>
        </w:tc>
        <w:tc>
          <w:tcPr>
            <w:tcW w:type="dxa" w:w="28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没有搜到或曝光不足。</w:t>
            </w:r>
          </w:p>
        </w:tc>
        <w:tc>
          <w:tcPr>
            <w:tcW w:type="dxa" w:w="501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检查搜索需求、品类容量、关键词相关性和 CPC；必要时用市场数据观察竞争。</w:t>
            </w:r>
          </w:p>
        </w:tc>
      </w:tr>
      <w:tr>
        <w:tc>
          <w:tcPr>
            <w:tcW w:type="dxa" w:w="155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点击</w:t>
            </w:r>
          </w:p>
        </w:tc>
        <w:tc>
          <w:tcPr>
            <w:tcW w:type="dxa" w:w="28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曝光有了但点击少、CTR 弱。</w:t>
            </w:r>
          </w:p>
        </w:tc>
        <w:tc>
          <w:tcPr>
            <w:tcW w:type="dxa" w:w="501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对比类目参考范围，并审视主图、标题、价格、优惠和搜索词与详情页的一致性。</w:t>
            </w:r>
          </w:p>
        </w:tc>
      </w:tr>
      <w:tr>
        <w:tc>
          <w:tcPr>
            <w:tcW w:type="dxa" w:w="155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销售 / 转化</w:t>
            </w:r>
          </w:p>
        </w:tc>
        <w:tc>
          <w:tcPr>
            <w:tcW w:type="dxa" w:w="28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有点击但订单少、CR 弱。</w:t>
            </w:r>
          </w:p>
        </w:tc>
        <w:tc>
          <w:tcPr>
            <w:tcW w:type="dxa" w:w="501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优先排查详情页、价格、评价、变体和产品竞争力；CR 合格后再把焦点放回广告。</w:t>
            </w:r>
          </w:p>
        </w:tc>
      </w:tr>
      <w:tr>
        <w:tc>
          <w:tcPr>
            <w:tcW w:type="dxa" w:w="155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纯利润</w:t>
            </w:r>
          </w:p>
        </w:tc>
        <w:tc>
          <w:tcPr>
            <w:tcW w:type="dxa" w:w="28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ACOS 或 TACOS 让商品在教学口径下亏本。</w:t>
            </w:r>
          </w:p>
        </w:tc>
        <w:tc>
          <w:tcPr>
            <w:tcW w:type="dxa" w:w="501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用毛利率和总销售共同判断，再决定降成本、提高有效流量或暂停低相关投放。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Microsoft YaHei" w:hAnsi="Microsoft YaHei" w:eastAsia="Microsoft YaHei"/>
          <w:i w:val="0"/>
          <w:color w:val="202124"/>
          <w:sz w:val="21"/>
        </w:rPr>
        <w:t>课件展示美国、德国、英国和日本的 CPC、CTR、CR 与 ACOS 参考区间图，用于建立“所在类目处于何种水平”的比较背景。由于截图未提供统一可复用的数值表，且这些基准受站点、类目、时间和竞争环境影响，本稿不把图中柱状范围转写为通用阈值。</w:t>
      </w:r>
    </w:p>
    <w:p>
      <w:pPr>
        <w:pStyle w:val="Heading1"/>
      </w:pPr>
      <w:r>
        <w:t>三、ACOS 优化：从公式到五类报告</w:t>
      </w:r>
    </w:p>
    <w:p>
      <w:pPr>
        <w:pStyle w:val="Heading2"/>
      </w:pPr>
      <w:r>
        <w:t>1. ACOS 的直接杠杆</w:t>
      </w:r>
    </w:p>
    <w:p>
      <w:pPr>
        <w:spacing w:after="120" w:line="269" w:lineRule="auto"/>
      </w:pPr>
      <w:r>
        <w:rPr>
          <w:rFonts w:ascii="Microsoft YaHei" w:hAnsi="Microsoft YaHei" w:eastAsia="Microsoft YaHei"/>
          <w:i w:val="0"/>
          <w:color w:val="202124"/>
          <w:sz w:val="21"/>
        </w:rPr>
        <w:t>课件将 ACOS 推导为：ACOS = CPC / CR / 客单价。也就是说，在其他条件相同的假设下，CPC 降低、转化率提高或客单价提高都会改善 ACOS；曝光、点击、CTR 和销量更像是会通过这些变量间接影响结果的过程指标。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500"/>
        <w:gridCol w:w="4150"/>
        <w:gridCol w:w="371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变量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课件给出的影响路径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可操作含义</w:t>
            </w:r>
          </w:p>
        </w:tc>
      </w:tr>
      <w:tr>
        <w:tc>
          <w:tcPr>
            <w:tcW w:type="dxa" w:w="15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CPC</w:t>
            </w:r>
          </w:p>
        </w:tc>
        <w:tc>
          <w:tcPr>
            <w:tcW w:type="dxa" w:w="415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由关键词、竞价、竞价策略、位置竞价和竞争强度影响。</w:t>
            </w:r>
          </w:p>
        </w:tc>
        <w:tc>
          <w:tcPr>
            <w:tcW w:type="dxa" w:w="371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不是单纯压价；要避免因出价过低丢失原本有效的流量。</w:t>
            </w:r>
          </w:p>
        </w:tc>
      </w:tr>
      <w:tr>
        <w:tc>
          <w:tcPr>
            <w:tcW w:type="dxa" w:w="15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CR</w:t>
            </w:r>
          </w:p>
        </w:tc>
        <w:tc>
          <w:tcPr>
            <w:tcW w:type="dxa" w:w="415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受图片、文案、价格、评价、关键词相关性、促销和流量质量影响。</w:t>
            </w:r>
          </w:p>
        </w:tc>
        <w:tc>
          <w:tcPr>
            <w:tcW w:type="dxa" w:w="371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先提高详情页与搜索词的匹配，再优化投放。</w:t>
            </w:r>
          </w:p>
        </w:tc>
      </w:tr>
      <w:tr>
        <w:tc>
          <w:tcPr>
            <w:tcW w:type="dxa" w:w="15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客单价</w:t>
            </w:r>
          </w:p>
        </w:tc>
        <w:tc>
          <w:tcPr>
            <w:tcW w:type="dxa" w:w="415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主要由售价决定，也可能被活动与其他因素影响。</w:t>
            </w:r>
          </w:p>
        </w:tc>
        <w:tc>
          <w:tcPr>
            <w:tcW w:type="dxa" w:w="371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调价要同时考虑转化、毛利和市场定位，不能只为降低 ACOS。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Microsoft YaHei" w:hAnsi="Microsoft YaHei" w:eastAsia="Microsoft YaHei"/>
          <w:i w:val="0"/>
          <w:color w:val="202124"/>
          <w:sz w:val="21"/>
        </w:rPr>
        <w:t>课件用三个算例说明公式：CPC 0.5、CR 20%、客单价 25 时 ACOS 为 10%；CPC 1.0、CR 10%、客单价 25 时为 40%；CPC 1.0、CR 20%、客单价 20 时为 25%。这些是公式演示，不是建议目标。</w:t>
      </w:r>
    </w:p>
    <w:p>
      <w:pPr>
        <w:pStyle w:val="Heading2"/>
      </w:pPr>
      <w:r>
        <w:t>2. 五份报告对应五类优化动作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3960"/>
        <w:gridCol w:w="350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报告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主要回答的问题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课件对应的动作入口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投放报告 + 展示量份额</w:t>
            </w:r>
          </w:p>
        </w:tc>
        <w:tc>
          <w:tcPr>
            <w:tcW w:type="dxa" w:w="39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自动、商品和关键词投放里，哪些对象已有足够点击且成本或相关性有问题？</w:t>
            </w:r>
          </w:p>
        </w:tc>
        <w:tc>
          <w:tcPr>
            <w:tcW w:type="dxa" w:w="35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按对象调竞价、归档、观察或扩展；同时看搜索词展示量份额避免盲目加价。</w:t>
            </w:r>
          </w:p>
        </w:tc>
      </w:tr>
      <w:tr>
        <w:tc>
          <w:tcPr>
            <w:tcW w:type="dxa" w:w="19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搜索词报告 + 展示量份额</w:t>
            </w:r>
          </w:p>
        </w:tc>
        <w:tc>
          <w:tcPr>
            <w:tcW w:type="dxa" w:w="396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哪些客户搜索词或特征词更可能带来高转化？</w:t>
            </w:r>
          </w:p>
        </w:tc>
        <w:tc>
          <w:tcPr>
            <w:tcW w:type="dxa" w:w="35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拓词、保留优质词、剔除低相关搜索词，并设定合理目标。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广告位报告</w:t>
            </w:r>
          </w:p>
        </w:tc>
        <w:tc>
          <w:tcPr>
            <w:tcW w:type="dxa" w:w="39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首页顶部、其余搜索结果和商品页的表现是否不同？</w:t>
            </w:r>
          </w:p>
        </w:tc>
        <w:tc>
          <w:tcPr>
            <w:tcW w:type="dxa" w:w="35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先判断位置数据，再测试基础竞价和位置调整比例。</w:t>
            </w:r>
          </w:p>
        </w:tc>
      </w:tr>
      <w:tr>
        <w:tc>
          <w:tcPr>
            <w:tcW w:type="dxa" w:w="19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广告活动报告</w:t>
            </w:r>
          </w:p>
        </w:tc>
        <w:tc>
          <w:tcPr>
            <w:tcW w:type="dxa" w:w="396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不同日期、小时或活动周期内，何时有订单或效率更好？</w:t>
            </w:r>
          </w:p>
        </w:tc>
        <w:tc>
          <w:tcPr>
            <w:tcW w:type="dxa" w:w="35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按周期或时段分组，结合规则调整投放强度。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预算报告</w:t>
            </w:r>
          </w:p>
        </w:tc>
        <w:tc>
          <w:tcPr>
            <w:tcW w:type="dxa" w:w="39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预算是否让有效广告过早离线，或是否被低效流量占用？</w:t>
            </w:r>
          </w:p>
        </w:tc>
        <w:tc>
          <w:tcPr>
            <w:tcW w:type="dxa" w:w="35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选择预算策略或规则，使预算与业务目标、在线时长相匹配。</w:t>
            </w:r>
          </w:p>
        </w:tc>
      </w:tr>
    </w:tbl>
    <w:p>
      <w:pPr>
        <w:spacing w:after="40"/>
      </w:pPr>
    </w:p>
    <w:p>
      <w:pPr>
        <w:pStyle w:val="Heading2"/>
      </w:pPr>
      <w:r>
        <w:t>3. 投放报告：分别看自动、商品和关键词投放</w:t>
      </w:r>
    </w:p>
    <w:p>
      <w:pPr>
        <w:spacing w:after="120" w:line="269" w:lineRule="auto"/>
      </w:pPr>
      <w:r>
        <w:rPr>
          <w:rFonts w:ascii="Microsoft YaHei" w:hAnsi="Microsoft YaHei" w:eastAsia="Microsoft YaHei"/>
          <w:i w:val="0"/>
          <w:color w:val="202124"/>
          <w:sz w:val="21"/>
        </w:rPr>
        <w:t>投放报告的价值在于识别投放方式和匹配类型，并把同类数据合并后比较。课件建议广告活动命名要能一眼识别 ASIN、商品、手动 / 自动、关键词 / 商品投放及匹配方式，这样下载报表后才容易汇总。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600"/>
        <w:gridCol w:w="3800"/>
        <w:gridCol w:w="39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投放类型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课程的判断逻辑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案例化动作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自动投放</w:t>
            </w:r>
          </w:p>
        </w:tc>
        <w:tc>
          <w:tcPr>
            <w:tcW w:type="dxa" w:w="38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先看点击量和 ACOS；点击量不足先确认相关性，样本足够再看是否亏本。</w:t>
            </w:r>
          </w:p>
        </w:tc>
        <w:tc>
          <w:tcPr>
            <w:tcW w:type="dxa" w:w="39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课件示例采用“20 次点击”作为初筛；在教学毛利口径内可测试提高竞价，反之可降价或暂停。</w:t>
            </w:r>
          </w:p>
        </w:tc>
      </w:tr>
      <w:tr>
        <w:tc>
          <w:tcPr>
            <w:tcW w:type="dxa" w:w="16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商品 / 分类投放</w:t>
            </w:r>
          </w:p>
        </w:tc>
        <w:tc>
          <w:tcPr>
            <w:tcW w:type="dxa" w:w="38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有转化的 ASIN 往往与产品相似、存在替代关系、价格合理、评价与流量基础较好。</w:t>
            </w:r>
          </w:p>
        </w:tc>
        <w:tc>
          <w:tcPr>
            <w:tcW w:type="dxa" w:w="396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无转化时先看 ASIN 详情页和相关性；流量很少可短期观察或小幅提高竞价，长期无效再归档。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关键词投放</w:t>
            </w:r>
          </w:p>
        </w:tc>
        <w:tc>
          <w:tcPr>
            <w:tcW w:type="dxa" w:w="38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把点击样本、ACOS、CPC、展示量份额和相关性放在一起。</w:t>
            </w:r>
          </w:p>
        </w:tc>
        <w:tc>
          <w:tcPr>
            <w:tcW w:type="dxa" w:w="39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点击足够且未达到盈利目标时，课件示例为降价约 10% 或归档；数据不足先不急于定性。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 xml:space="preserve">避免“抬杠人”式扩量  </w:t>
            </w:r>
            <w:r>
              <w:rPr>
                <w:rFonts w:ascii="Microsoft YaHei" w:hAnsi="Microsoft YaHei" w:eastAsia="Microsoft YaHei"/>
                <w:color w:val="202124"/>
                <w:sz w:val="20"/>
              </w:rPr>
              <w:t>课件提醒：表现好的词不应仅凭订单就持续提价。还要查看搜索词展示量份额是否已位于 Top；若份额、位置或转化不支持，增加竞价可能只是更贵地买到同一批流量。</w:t>
            </w:r>
          </w:p>
        </w:tc>
      </w:tr>
    </w:tbl>
    <w:p>
      <w:pPr>
        <w:spacing w:after="40"/>
      </w:pPr>
    </w:p>
    <w:p>
      <w:pPr>
        <w:pStyle w:val="Heading2"/>
      </w:pPr>
      <w:r>
        <w:t>4. 搜索词报告：找高转化需求，而非直接“制造转化”</w:t>
      </w:r>
    </w:p>
    <w:p>
      <w:pPr>
        <w:spacing w:after="120" w:line="269" w:lineRule="auto"/>
      </w:pPr>
      <w:r>
        <w:rPr>
          <w:rFonts w:ascii="Microsoft YaHei" w:hAnsi="Microsoft YaHei" w:eastAsia="Microsoft YaHei"/>
          <w:i w:val="0"/>
          <w:color w:val="202124"/>
          <w:sz w:val="21"/>
        </w:rPr>
        <w:t>课件认为搜索词报告不能直接提升转化率，但它可以指出应该优先优化哪些词、哪些详情页表达和哪些商品需求。分析目标有两个：从已发生的搜索中筛出高转化词；把这些词按三个维度扩展为更多近义表达。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650"/>
        <w:gridCol w:w="4050"/>
        <w:gridCol w:w="366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步骤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课程做法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使用边界</w:t>
            </w:r>
          </w:p>
        </w:tc>
      </w:tr>
      <w:tr>
        <w:tc>
          <w:tcPr>
            <w:tcW w:type="dxa" w:w="165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拆分特征词</w:t>
            </w:r>
          </w:p>
        </w:tc>
        <w:tc>
          <w:tcPr>
            <w:tcW w:type="dxa" w:w="405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把一个客户搜索词拆为单词或特征词，合并曝光、点击、订单、花费、销售额后计算 CPC、CR、ACOS。</w:t>
            </w:r>
          </w:p>
        </w:tc>
        <w:tc>
          <w:tcPr>
            <w:tcW w:type="dxa" w:w="36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单词统计是辅助判断；不能把短词或小样本直接视为否词或核心词。</w:t>
            </w:r>
          </w:p>
        </w:tc>
      </w:tr>
      <w:tr>
        <w:tc>
          <w:tcPr>
            <w:tcW w:type="dxa" w:w="165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判断样本量</w:t>
            </w:r>
          </w:p>
        </w:tc>
        <w:tc>
          <w:tcPr>
            <w:tcW w:type="dxa" w:w="405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课件用约 20 次点击作为开始判断的参考，并用约 100 次点击提高判断确定性。</w:t>
            </w:r>
          </w:p>
        </w:tc>
        <w:tc>
          <w:tcPr>
            <w:tcW w:type="dxa" w:w="366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这是课程工具参数而非平台强制规则；应根据客单价、转化和风险调整。</w:t>
            </w:r>
          </w:p>
        </w:tc>
      </w:tr>
      <w:tr>
        <w:tc>
          <w:tcPr>
            <w:tcW w:type="dxa" w:w="165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设目标</w:t>
            </w:r>
          </w:p>
        </w:tc>
        <w:tc>
          <w:tcPr>
            <w:tcW w:type="dxa" w:w="405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用预估 CR、ASIN 的 CPC 和目标 ACOS 推算可承受 CPC。</w:t>
            </w:r>
          </w:p>
        </w:tc>
        <w:tc>
          <w:tcPr>
            <w:tcW w:type="dxa" w:w="36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目标 ACOS 应来自毛利与业务目标，不能只沿用教学表格中的百分比。</w:t>
            </w:r>
          </w:p>
        </w:tc>
      </w:tr>
      <w:tr>
        <w:tc>
          <w:tcPr>
            <w:tcW w:type="dxa" w:w="165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输出动作</w:t>
            </w:r>
          </w:p>
        </w:tc>
        <w:tc>
          <w:tcPr>
            <w:tcW w:type="dxa" w:w="405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保留和拓展优质词；对低相关、样本足够且不符合目标的搜索词考虑降低出价或排除。</w:t>
            </w:r>
          </w:p>
        </w:tc>
        <w:tc>
          <w:tcPr>
            <w:tcW w:type="dxa" w:w="366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否词前要核查相关性、匹配类型、销售周期及是否存在关联购买。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Microsoft YaHei" w:hAnsi="Microsoft YaHei" w:eastAsia="Microsoft YaHei"/>
          <w:i w:val="0"/>
          <w:color w:val="202124"/>
          <w:sz w:val="21"/>
        </w:rPr>
        <w:t>课件所示工具还会给出 Increase Bid、Decrease Bid、Reasonable、Exact Negative、Phrase Negative、Pending 等建议标签。它们可以作为检查清单，不能替代对产品相关性、毛利、库存和样本量的人工判断。</w:t>
      </w:r>
    </w:p>
    <w:p>
      <w:pPr>
        <w:pStyle w:val="Heading2"/>
      </w:pPr>
      <w:r>
        <w:t>5. 广告位、活动与预算：把“何处、何时、多久在线”纳入优化</w:t>
      </w:r>
    </w:p>
    <w:p>
      <w:pPr>
        <w:spacing w:after="120" w:line="269" w:lineRule="auto"/>
      </w:pPr>
      <w:r>
        <w:rPr>
          <w:rFonts w:ascii="Microsoft YaHei" w:hAnsi="Microsoft YaHei" w:eastAsia="Microsoft YaHei"/>
          <w:i w:val="0"/>
          <w:color w:val="202124"/>
          <w:sz w:val="21"/>
        </w:rPr>
        <w:t>广告位报告将搜索结果顶部、其余搜索结果和商品页分开比较。课件的思路是：数据充足时，若某位置 CR 高且 ACOS 符合目标，可测试提高该位置调整比例；若位置转化弱、ACOS 高，则降低该位置权重。课件示例给出“热门搜索位置竞价增加 20%、整体竞价下调 10%”的组合方案，属于具体案例，不是默认配方。</w:t>
      </w:r>
    </w:p>
    <w:p>
      <w:pPr>
        <w:spacing w:after="120" w:line="269" w:lineRule="auto"/>
      </w:pPr>
      <w:r>
        <w:rPr>
          <w:rFonts w:ascii="Microsoft YaHei" w:hAnsi="Microsoft YaHei" w:eastAsia="Microsoft YaHei"/>
          <w:i w:val="0"/>
          <w:color w:val="202124"/>
          <w:sz w:val="21"/>
        </w:rPr>
        <w:t>广告活动报告用于按周、按日或按小时找出有订单、成本较低的时间段。课件展示了基于规则的竞价方案和时间表方案：前者可在指标触发时调整，后者用于提前设置某些时段的竞价比例。使用前应确认报表粒度、当前站点可用功能和规则累加方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100"/>
        <w:gridCol w:w="3680"/>
        <w:gridCol w:w="358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预算思路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课件定义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适用方式</w:t>
            </w:r>
          </w:p>
        </w:tc>
      </w:tr>
      <w:tr>
        <w:tc>
          <w:tcPr>
            <w:tcW w:type="dxa" w:w="21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盈利 / 放开预算</w:t>
            </w:r>
          </w:p>
        </w:tc>
        <w:tc>
          <w:tcPr>
            <w:tcW w:type="dxa" w:w="368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用更接近持续在线的预算配置维持流量。</w:t>
            </w:r>
          </w:p>
        </w:tc>
        <w:tc>
          <w:tcPr>
            <w:tcW w:type="dxa" w:w="358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当目标是获取更多流量，且有其他策略约束成本或 ACOS 时使用。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亏本 / 固定预算</w:t>
            </w:r>
          </w:p>
        </w:tc>
        <w:tc>
          <w:tcPr>
            <w:tcW w:type="dxa" w:w="368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限制每日可花费，控制可能的持续亏损。</w:t>
            </w:r>
          </w:p>
        </w:tc>
        <w:tc>
          <w:tcPr>
            <w:tcW w:type="dxa" w:w="358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适合 CPC 或 ACOS 较高、商品处于测试或成本需要收敛的阶段。</w:t>
            </w:r>
          </w:p>
        </w:tc>
      </w:tr>
      <w:tr>
        <w:tc>
          <w:tcPr>
            <w:tcW w:type="dxa" w:w="21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特殊时期 / 低预算</w:t>
            </w:r>
          </w:p>
        </w:tc>
        <w:tc>
          <w:tcPr>
            <w:tcW w:type="dxa" w:w="368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短期压低预算，但仍希望保留部分广告在线。</w:t>
            </w:r>
          </w:p>
        </w:tc>
        <w:tc>
          <w:tcPr>
            <w:tcW w:type="dxa" w:w="358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适合临时控制投入或清库存前的谨慎调整；要防止有效流量被误伤。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Microsoft YaHei" w:hAnsi="Microsoft YaHei" w:eastAsia="Microsoft YaHei"/>
          <w:i w:val="0"/>
          <w:color w:val="202124"/>
          <w:sz w:val="21"/>
        </w:rPr>
        <w:t>课程强调预算不直接决定 ACOS 或单日花费本身，它更直接影响广告能在线多久。因此预算诊断要问的是：预算是否过早耗尽，让原本有效的广告失去后半天的展示机会？</w:t>
      </w:r>
    </w:p>
    <w:p>
      <w:pPr>
        <w:pStyle w:val="Heading1"/>
      </w:pPr>
      <w:r>
        <w:t>四、核心关键词：找全、找准，再验证</w:t>
      </w:r>
    </w:p>
    <w:p>
      <w:pPr>
        <w:pStyle w:val="Heading2"/>
      </w:pPr>
      <w:r>
        <w:t>1. 关键词的定义与来源</w:t>
      </w:r>
    </w:p>
    <w:p>
      <w:pPr>
        <w:spacing w:after="120" w:line="269" w:lineRule="auto"/>
      </w:pPr>
      <w:r>
        <w:rPr>
          <w:rFonts w:ascii="Microsoft YaHei" w:hAnsi="Microsoft YaHei" w:eastAsia="Microsoft YaHei"/>
          <w:i w:val="0"/>
          <w:color w:val="202124"/>
          <w:sz w:val="21"/>
        </w:rPr>
        <w:t>课件把“核心关键词 / 核心词”定义为消费者搜索目标商品最常用的关键词。它强调不能只凭商品文案猜词，应以 ASIN 为入口，把竞品实际获得的搜索词带入分析；再用自身商品的搜索结果验证相关性。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50"/>
        <w:gridCol w:w="4300"/>
        <w:gridCol w:w="331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方法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操作路径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输出</w:t>
            </w:r>
          </w:p>
        </w:tc>
      </w:tr>
      <w:tr>
        <w:tc>
          <w:tcPr>
            <w:tcW w:type="dxa" w:w="175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ABA</w:t>
            </w:r>
          </w:p>
        </w:tc>
        <w:tc>
          <w:tcPr>
            <w:tcW w:type="dxa" w:w="43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采集小类 BSR Top 20-100 左右的竞品 ASIN；多小类可合并，再剔除不直接竞争的 ASIN。课件建议保留约 100 个以内。</w:t>
            </w:r>
          </w:p>
        </w:tc>
        <w:tc>
          <w:tcPr>
            <w:tcW w:type="dxa" w:w="331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输入 ASIN 后查看各竞品在某搜索词下的表现，最后挑出覆盖面与排名都更合适的词。</w:t>
            </w:r>
          </w:p>
        </w:tc>
      </w:tr>
      <w:tr>
        <w:tc>
          <w:tcPr>
            <w:tcW w:type="dxa" w:w="175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商机探测器</w:t>
            </w:r>
          </w:p>
        </w:tc>
        <w:tc>
          <w:tcPr>
            <w:tcW w:type="dxa" w:w="43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先找细分市场，再选择重叠较少、需求更聚焦的 Niche，最后进入搜索词版块下载和查看词表。</w:t>
            </w:r>
          </w:p>
        </w:tc>
        <w:tc>
          <w:tcPr>
            <w:tcW w:type="dxa" w:w="331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得到与细分市场绑定的搜索词及其需求 / 竞争背景。</w:t>
            </w:r>
          </w:p>
        </w:tc>
      </w:tr>
      <w:tr>
        <w:tc>
          <w:tcPr>
            <w:tcW w:type="dxa" w:w="175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前台验证</w:t>
            </w:r>
          </w:p>
        </w:tc>
        <w:tc>
          <w:tcPr>
            <w:tcW w:type="dxa" w:w="43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逐个搜索候选核心词，比较搜索结果与自己的商品。</w:t>
            </w:r>
          </w:p>
        </w:tc>
        <w:tc>
          <w:tcPr>
            <w:tcW w:type="dxa" w:w="331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课件用“搜索结果约 75% 高度相似”作为相关性检验提示，属于教学经验法。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Microsoft YaHei" w:hAnsi="Microsoft YaHei" w:eastAsia="Microsoft YaHei"/>
          <w:i w:val="0"/>
          <w:color w:val="202124"/>
          <w:sz w:val="21"/>
        </w:rPr>
        <w:t>室外座垫练习要求先用 ABA 和商机探测器各走一遍，再对候选词做验证。它传递的重点是：工具输出只是候选池；最终核心词必须同时满足产品相关、细分市场一致、可竞争和可转化。</w:t>
      </w:r>
    </w:p>
    <w:p>
      <w:pPr>
        <w:pStyle w:val="Heading2"/>
      </w:pPr>
      <w:r>
        <w:t>2. 用高转化特征词扩词</w:t>
      </w:r>
    </w:p>
    <w:p>
      <w:pPr>
        <w:spacing w:after="120" w:line="269" w:lineRule="auto"/>
      </w:pPr>
      <w:r>
        <w:rPr>
          <w:rFonts w:ascii="Microsoft YaHei" w:hAnsi="Microsoft YaHei" w:eastAsia="Microsoft YaHei"/>
          <w:i w:val="0"/>
          <w:color w:val="202124"/>
          <w:sz w:val="21"/>
        </w:rPr>
        <w:t>搜索词报告中的高转化特征词可成为扩词起点。课件以 desk、cushion、office、pain 等词举例，提出三条扩展方向：特征词方向、上位词方向和核心关键词方向。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650"/>
        <w:gridCol w:w="4700"/>
        <w:gridCol w:w="301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扩展方向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课件示意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实际含义</w:t>
            </w:r>
          </w:p>
        </w:tc>
      </w:tr>
      <w:tr>
        <w:tc>
          <w:tcPr>
            <w:tcW w:type="dxa" w:w="165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特征词方向</w:t>
            </w:r>
          </w:p>
        </w:tc>
        <w:tc>
          <w:tcPr>
            <w:tcW w:type="dxa" w:w="47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Desk seat cushion 可替换为 work station seat cushion、chair seat cushion 等。</w:t>
            </w:r>
          </w:p>
        </w:tc>
        <w:tc>
          <w:tcPr>
            <w:tcW w:type="dxa" w:w="301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围绕同义表达和属性词，扩大同一需求的覆盖。</w:t>
            </w:r>
          </w:p>
        </w:tc>
      </w:tr>
      <w:tr>
        <w:tc>
          <w:tcPr>
            <w:tcW w:type="dxa" w:w="165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上位词方向</w:t>
            </w:r>
          </w:p>
        </w:tc>
        <w:tc>
          <w:tcPr>
            <w:tcW w:type="dxa" w:w="47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由 desk 向 cushion、desk cushion、desk pad 等词根扩展。</w:t>
            </w:r>
          </w:p>
        </w:tc>
        <w:tc>
          <w:tcPr>
            <w:tcW w:type="dxa" w:w="301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连接更宽的品类词，但需控制相关性和竞争强度。</w:t>
            </w:r>
          </w:p>
        </w:tc>
      </w:tr>
      <w:tr>
        <w:tc>
          <w:tcPr>
            <w:tcW w:type="dxa" w:w="165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核心词方向</w:t>
            </w:r>
          </w:p>
        </w:tc>
        <w:tc>
          <w:tcPr>
            <w:tcW w:type="dxa" w:w="47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由 desk seat cushion 延伸到 desk seat pad、desk pillow、desk recliner cushion 等。</w:t>
            </w:r>
          </w:p>
        </w:tc>
        <w:tc>
          <w:tcPr>
            <w:tcW w:type="dxa" w:w="301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将高转化特征与产品核心词组合，形成更完整的长尾词池。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 xml:space="preserve">关键词不是一份扁平清单  </w:t>
            </w:r>
            <w:r>
              <w:rPr>
                <w:rFonts w:ascii="Microsoft YaHei" w:hAnsi="Microsoft YaHei" w:eastAsia="Microsoft YaHei"/>
                <w:color w:val="202124"/>
                <w:sz w:val="20"/>
              </w:rPr>
              <w:t>课件的隐含工作流是：核心词用于定位和验证，高转化特征词用于扩展，搜索词数据用于筛选，投放数据用于判断是否继续加价、保留或否定。</w:t>
            </w:r>
          </w:p>
        </w:tc>
      </w:tr>
    </w:tbl>
    <w:p>
      <w:pPr>
        <w:spacing w:after="40"/>
      </w:pPr>
    </w:p>
    <w:p>
      <w:pPr>
        <w:pStyle w:val="Heading1"/>
      </w:pPr>
      <w:r>
        <w:t>五、投放结构与匹配方式</w:t>
      </w:r>
    </w:p>
    <w:p>
      <w:pPr>
        <w:pStyle w:val="Heading2"/>
      </w:pPr>
      <w:r>
        <w:t>1. 变体、商品与活动命名</w:t>
      </w:r>
    </w:p>
    <w:p>
      <w:pPr>
        <w:spacing w:after="120" w:line="269" w:lineRule="auto"/>
      </w:pPr>
      <w:r>
        <w:rPr>
          <w:rFonts w:ascii="Microsoft YaHei" w:hAnsi="Microsoft YaHei" w:eastAsia="Microsoft YaHei"/>
          <w:i w:val="0"/>
          <w:color w:val="202124"/>
          <w:sz w:val="21"/>
        </w:rPr>
        <w:t>课件建议以子体为基本投放单位：每个子体独立建立广告活动，并分别设置自动、手动关键词和手动商品投放。对于变体很多的情况，可按全子体、高转化子体和低转化子体拆分，以便后续汇总与分析。是否拆分仍应以库存、预算和变体差异为前提。</w:t>
      </w:r>
    </w:p>
    <w:p>
      <w:pPr>
        <w:spacing w:after="120" w:line="269" w:lineRule="auto"/>
      </w:pPr>
      <w:r>
        <w:rPr>
          <w:rFonts w:ascii="Microsoft YaHei" w:hAnsi="Microsoft YaHei" w:eastAsia="Microsoft YaHei"/>
          <w:i w:val="0"/>
          <w:color w:val="202124"/>
          <w:sz w:val="21"/>
        </w:rPr>
        <w:t>广告活动名称应承载可分析的信息，例如产品 / ASIN、投放方式、商品或关键词、匹配方式与阶段目标。这样做的目的不是形式化命名，而是让报表中的每一行都能快速回到对应的投放意图。</w:t>
      </w:r>
    </w:p>
    <w:p>
      <w:pPr>
        <w:pStyle w:val="Heading2"/>
      </w:pPr>
      <w:r>
        <w:t>2. 匹配方式</w:t>
      </w:r>
    </w:p>
    <w:tbl>
      <w:tblPr>
        <w:tblStyle w:val="TableGrid"/>
        <w:tblW w:type="dxa" w:w="96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3900"/>
        <w:gridCol w:w="3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方式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课件描述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适用逻辑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广泛匹配</w:t>
            </w:r>
          </w:p>
        </w:tc>
        <w:tc>
          <w:tcPr>
            <w:tcW w:type="dxa" w:w="39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可覆盖同义、相关和更宽泛的搜索表达。</w:t>
            </w:r>
          </w:p>
        </w:tc>
        <w:tc>
          <w:tcPr>
            <w:tcW w:type="dxa" w:w="39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用于发现词，但应配合预算、否词和样本观察，防止低相关流量扩散。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词组匹配</w:t>
            </w:r>
          </w:p>
        </w:tc>
        <w:tc>
          <w:tcPr>
            <w:tcW w:type="dxa" w:w="39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通常要求搜索词保留较完整的词组含义，前后可有其他词。</w:t>
            </w:r>
          </w:p>
        </w:tc>
        <w:tc>
          <w:tcPr>
            <w:tcW w:type="dxa" w:w="396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用于在覆盖与控制之间取得平衡。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精准匹配</w:t>
            </w:r>
          </w:p>
        </w:tc>
        <w:tc>
          <w:tcPr>
            <w:tcW w:type="dxa" w:w="39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聚焦于更接近目标关键词的搜索。</w:t>
            </w:r>
          </w:p>
        </w:tc>
        <w:tc>
          <w:tcPr>
            <w:tcW w:type="dxa" w:w="396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用于验证核心词、承接高转化词或执行明确的排名 / 利润目标。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Microsoft YaHei" w:hAnsi="Microsoft YaHei" w:eastAsia="Microsoft YaHei"/>
          <w:i w:val="0"/>
          <w:color w:val="202124"/>
          <w:sz w:val="21"/>
        </w:rPr>
        <w:t>课件用 Yoga pants 的示例说明不同匹配可能触发的搜索范围。实际匹配规则和可用控制项需要以当前广告控制台说明为准，且不同站点和广告产品可能不同。</w:t>
      </w:r>
    </w:p>
    <w:p>
      <w:pPr>
        <w:pStyle w:val="Heading2"/>
      </w:pPr>
      <w:r>
        <w:t>3. 是否分时投放与投放框架</w:t>
      </w:r>
    </w:p>
    <w:p>
      <w:pPr>
        <w:spacing w:after="120" w:line="269" w:lineRule="auto"/>
      </w:pPr>
      <w:r>
        <w:rPr>
          <w:rFonts w:ascii="Microsoft YaHei" w:hAnsi="Microsoft YaHei" w:eastAsia="Microsoft YaHei"/>
          <w:i w:val="0"/>
          <w:color w:val="202124"/>
          <w:sz w:val="21"/>
        </w:rPr>
        <w:t>课件把“是否分时投放”与活动报告结合：先下载足够时间的数据，再依据订单、CPC、CTR、CR 和 ACOS 识别高效时段；确认规律后，用时间表或规则小范围测试，而不是先凭主观感觉切断时段。</w:t>
      </w:r>
    </w:p>
    <w:p>
      <w:pPr>
        <w:spacing w:after="120" w:line="269" w:lineRule="auto"/>
      </w:pPr>
      <w:r>
        <w:rPr>
          <w:rFonts w:ascii="Microsoft YaHei" w:hAnsi="Microsoft YaHei" w:eastAsia="Microsoft YaHei"/>
          <w:i w:val="0"/>
          <w:color w:val="202124"/>
          <w:sz w:val="21"/>
        </w:rPr>
        <w:t>投放框架示例把预算、竞价、投放方式、广告位、ASIN 与关键词 / 分类等信息写入一张管理表。它的价值是把“每个活动为什么存在、服务哪个商品、目标是什么、预算由谁控制”变得可见。</w:t>
      </w:r>
    </w:p>
    <w:p>
      <w:pPr>
        <w:pStyle w:val="Heading1"/>
      </w:pPr>
      <w:r>
        <w:t>六、按商品阶段规划广告</w:t>
      </w:r>
    </w:p>
    <w:p>
      <w:pPr>
        <w:spacing w:after="120" w:line="269" w:lineRule="auto"/>
      </w:pPr>
      <w:r>
        <w:rPr>
          <w:rFonts w:ascii="Microsoft YaHei" w:hAnsi="Microsoft YaHei" w:eastAsia="Microsoft YaHei"/>
          <w:i w:val="0"/>
          <w:color w:val="202124"/>
          <w:sz w:val="21"/>
        </w:rPr>
        <w:t>课程将商品阶段分为测试期、盈利期和淘汰期。每一阶段的问题不同：测试期要解决数据不足与新品定位；盈利期要扩大有效流量并降低流量成本；淘汰期则在清库存目标下重新决定是否继续投放。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250"/>
        <w:gridCol w:w="2200"/>
        <w:gridCol w:w="3100"/>
        <w:gridCol w:w="281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课程目标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建议的投放重点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课程强调的风险</w:t>
            </w:r>
          </w:p>
        </w:tc>
      </w:tr>
      <w:tr>
        <w:tc>
          <w:tcPr>
            <w:tcW w:type="dxa" w:w="125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测试期</w:t>
            </w:r>
          </w:p>
        </w:tc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获取足够数据，验证新品和关键词。</w:t>
            </w:r>
          </w:p>
        </w:tc>
        <w:tc>
          <w:tcPr>
            <w:tcW w:type="dxa" w:w="31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自动 + 手动投放；品类关键词广泛匹配；商品投放；新品可用固定竞价、提高或降低竞价来采集数据。</w:t>
            </w:r>
          </w:p>
        </w:tc>
        <w:tc>
          <w:tcPr>
            <w:tcW w:type="dxa" w:w="281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前期常出现低、长、慢的投入曲线；要给数据积累留出时间，同时优化 Listing。</w:t>
            </w:r>
          </w:p>
        </w:tc>
      </w:tr>
      <w:tr>
        <w:tc>
          <w:tcPr>
            <w:tcW w:type="dxa" w:w="125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盈利期</w:t>
            </w:r>
          </w:p>
        </w:tc>
        <w:tc>
          <w:tcPr>
            <w:tcW w:type="dxa" w:w="22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扩充有效流量并降低获客成本。</w:t>
            </w:r>
          </w:p>
        </w:tc>
        <w:tc>
          <w:tcPr>
            <w:tcW w:type="dxa" w:w="31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逐步把预算倾向高转化词、高转化 ASIN 与更有效的位置；结合复购和新需求拓展新品。</w:t>
            </w:r>
          </w:p>
        </w:tc>
        <w:tc>
          <w:tcPr>
            <w:tcW w:type="dxa" w:w="281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不能只加价。课件建议将明显提高的竞价分 3-5 天逐步调整，并观察份额、CPC、CR、ROAS 变化。</w:t>
            </w:r>
          </w:p>
        </w:tc>
      </w:tr>
      <w:tr>
        <w:tc>
          <w:tcPr>
            <w:tcW w:type="dxa" w:w="125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淘汰期</w:t>
            </w:r>
          </w:p>
        </w:tc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在库存与清货约束下控制投入。</w:t>
            </w:r>
          </w:p>
        </w:tc>
        <w:tc>
          <w:tcPr>
            <w:tcW w:type="dxa" w:w="31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按剩余时间、库存和日均消耗速度选择投放；保留更相关、更可控的结构。</w:t>
            </w:r>
          </w:p>
        </w:tc>
        <w:tc>
          <w:tcPr>
            <w:tcW w:type="dxa" w:w="281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清库存不等于完全停止广告；也不等于继续按盈利期方式扩量。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Microsoft YaHei" w:hAnsi="Microsoft YaHei" w:eastAsia="Microsoft YaHei"/>
          <w:i w:val="0"/>
          <w:color w:val="202124"/>
          <w:sz w:val="21"/>
        </w:rPr>
        <w:t>课件用测试期 2 月至 6 月的示意图说明：在至少覆盖一个旺季的观察期内，广告与 Listing 要同步优化；当自然表现与广告数据都显示可行时，再进入盈利期的流量扩展。时间长度是示例，不应忽略类目季节性、库存与现金流。</w:t>
      </w:r>
    </w:p>
    <w:p>
      <w:pPr>
        <w:pStyle w:val="Heading1"/>
      </w:pPr>
      <w:r>
        <w:t>七、把课程方法落成一张可执行检查表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00"/>
        <w:gridCol w:w="5050"/>
        <w:gridCol w:w="361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顺序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要做的事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本轮输出</w:t>
            </w:r>
          </w:p>
        </w:tc>
      </w:tr>
      <w:tr>
        <w:tc>
          <w:tcPr>
            <w:tcW w:type="dxa" w:w="7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1</w:t>
            </w:r>
          </w:p>
        </w:tc>
        <w:tc>
          <w:tcPr>
            <w:tcW w:type="dxa" w:w="505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建立 SKU 诊断表：合并推广商品、业务、库存与广告投放核心指标。</w:t>
            </w:r>
          </w:p>
        </w:tc>
        <w:tc>
          <w:tcPr>
            <w:tcW w:type="dxa" w:w="361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SKU 优先级、数据完整性、库存风险与盈利初判。</w:t>
            </w:r>
          </w:p>
        </w:tc>
      </w:tr>
      <w:tr>
        <w:tc>
          <w:tcPr>
            <w:tcW w:type="dxa" w:w="7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2</w:t>
            </w:r>
          </w:p>
        </w:tc>
        <w:tc>
          <w:tcPr>
            <w:tcW w:type="dxa" w:w="505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沿搜索量、曝光、点击、转化、利润排除非广告因素。</w:t>
            </w:r>
          </w:p>
        </w:tc>
        <w:tc>
          <w:tcPr>
            <w:tcW w:type="dxa" w:w="361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商品 / 详情页问题清单，避免无效改广告。</w:t>
            </w:r>
          </w:p>
        </w:tc>
      </w:tr>
      <w:tr>
        <w:tc>
          <w:tcPr>
            <w:tcW w:type="dxa" w:w="7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3</w:t>
            </w:r>
          </w:p>
        </w:tc>
        <w:tc>
          <w:tcPr>
            <w:tcW w:type="dxa" w:w="505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按自动、商品、关键词拆投放报告，先判断样本量与相关性。</w:t>
            </w:r>
          </w:p>
        </w:tc>
        <w:tc>
          <w:tcPr>
            <w:tcW w:type="dxa" w:w="361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保留、观察、调价、扩展、归档或否词的候选动作。</w:t>
            </w:r>
          </w:p>
        </w:tc>
      </w:tr>
      <w:tr>
        <w:tc>
          <w:tcPr>
            <w:tcW w:type="dxa" w:w="7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4</w:t>
            </w:r>
          </w:p>
        </w:tc>
        <w:tc>
          <w:tcPr>
            <w:tcW w:type="dxa" w:w="505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用搜索词、展示量份额与广告位报告找方向。</w:t>
            </w:r>
          </w:p>
        </w:tc>
        <w:tc>
          <w:tcPr>
            <w:tcW w:type="dxa" w:w="361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高转化词、词根、可扩展词、位置测试和预算需求。</w:t>
            </w:r>
          </w:p>
        </w:tc>
      </w:tr>
      <w:tr>
        <w:tc>
          <w:tcPr>
            <w:tcW w:type="dxa" w:w="70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5</w:t>
            </w:r>
          </w:p>
        </w:tc>
        <w:tc>
          <w:tcPr>
            <w:tcW w:type="dxa" w:w="505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用广告活动和预算报告检查时段与在线时长。</w:t>
            </w:r>
          </w:p>
        </w:tc>
        <w:tc>
          <w:tcPr>
            <w:tcW w:type="dxa" w:w="3610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是否需要规则、时间表、预算重分配或更细粒度分析。</w:t>
            </w:r>
          </w:p>
        </w:tc>
      </w:tr>
      <w:tr>
        <w:tc>
          <w:tcPr>
            <w:tcW w:type="dxa" w:w="70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6</w:t>
            </w:r>
          </w:p>
        </w:tc>
        <w:tc>
          <w:tcPr>
            <w:tcW w:type="dxa" w:w="505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结合产品阶段重设目标，记录每次调整的原因与观察窗口。</w:t>
            </w:r>
          </w:p>
        </w:tc>
        <w:tc>
          <w:tcPr>
            <w:tcW w:type="dxa" w:w="3610"/>
            <w:shd w:fill="FAFBFC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可复盘的 PDCA 台账，而非一次性的“优化结果”。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 xml:space="preserve">最终提醒  </w:t>
            </w:r>
            <w:r>
              <w:rPr>
                <w:rFonts w:ascii="Microsoft YaHei" w:hAnsi="Microsoft YaHei" w:eastAsia="Microsoft YaHei"/>
                <w:color w:val="202124"/>
                <w:sz w:val="20"/>
              </w:rPr>
              <w:t>课件提供的是一套诊断框架：把数据放到正确的经营背景中，再作出有限、可观察的调整。本稿保留了课件案例和操作口径，但不把案例图、后台截图或课程中的类目基准范围直接复制为固定策略。</w:t>
            </w:r>
          </w:p>
        </w:tc>
      </w:tr>
    </w:tbl>
    <w:p>
      <w:pPr>
        <w:spacing w:after="40"/>
      </w:pPr>
    </w:p>
    <w:p>
      <w:pPr>
        <w:pStyle w:val="Heading1"/>
      </w:pPr>
      <w:r>
        <w:t>附录：资料来源与改述边界</w:t>
      </w:r>
    </w:p>
    <w:p>
      <w:pPr>
        <w:spacing w:after="120" w:line="269" w:lineRule="auto"/>
      </w:pPr>
      <w:r>
        <w:rPr>
          <w:rFonts w:ascii="Microsoft YaHei" w:hAnsi="Microsoft YaHei" w:eastAsia="Microsoft YaHei"/>
          <w:i w:val="0"/>
          <w:color w:val="202124"/>
          <w:sz w:val="21"/>
        </w:rPr>
        <w:t>来源为用户提供的 PDF《亚马逊专题课-进阶广告诊断有优化全指导》，共 143 页。课件封面标注为 Amazon 全球开店官方讲堂，主题为“进阶广告诊断优化全指导 - 商品推广广告”。本稿在 2026-08-12 对课件全部页面进行了视觉阅读；页面中的商品图、后台截图、二维码和培训推广页均未迁移。</w:t>
      </w:r>
    </w:p>
    <w:p>
      <w:pPr>
        <w:spacing w:after="120" w:line="269" w:lineRule="auto"/>
      </w:pPr>
      <w:r>
        <w:rPr>
          <w:rFonts w:ascii="Microsoft YaHei" w:hAnsi="Microsoft YaHei" w:eastAsia="Microsoft YaHei"/>
          <w:i w:val="0"/>
          <w:color w:val="202124"/>
          <w:sz w:val="21"/>
        </w:rPr>
        <w:t>本稿特意保留了三种信息的区别：第一，课程提供的公式、流程和操作建议；第二，室内坐垫等案例中发生过的具体数据和结论；第三，受站点、类目、时间、归因窗口和账户目标影响的阈值、工具字段与平台功能。第三类内容在实际使用前应以当前 Amazon 官方文档和账户数据复核。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 xml:space="preserve">第 </w:t>
    </w:r>
    <w:fldSimple w:instr="PAGE"/>
    <w:r>
      <w:rPr>
        <w:rFonts w:ascii="Microsoft YaHei" w:hAnsi="Microsoft YaHei" w:eastAsia="Microsoft YaHei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color w:val="666666"/>
        <w:sz w:val="17"/>
      </w:rPr>
      <w:t>亚马逊商品推广广告 - 进阶诊断与优化文字改述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