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pStyle w:val="Kicker"/>
        <w:spacing w:after="360"/>
        <w:jc w:val="center"/>
      </w:pPr>
      <w:r>
        <w:rPr>
          <w:rFonts w:ascii="Calibri" w:hAnsi="Calibri" w:eastAsia="Noto Sans SC Thin" w:cs="Calibri"/>
          <w:b/>
          <w:color w:val="7A5A00"/>
          <w:sz w:val="21"/>
        </w:rPr>
        <w:t>亚马逊专题课 · 可编辑文字版讲义</w:t>
      </w:r>
    </w:p>
    <w:p>
      <w:pPr>
        <w:spacing w:after="160"/>
        <w:jc w:val="center"/>
      </w:pPr>
      <w:r>
        <w:rPr>
          <w:rFonts w:ascii="Calibri" w:hAnsi="Calibri" w:eastAsia="Noto Sans SC Thin" w:cs="Calibri"/>
          <w:b/>
          <w:color w:val="0B2545"/>
          <w:sz w:val="60"/>
        </w:rPr>
        <w:t>进阶广告诊断</w:t>
        <w:br/>
        <w:t>与优化全指导</w:t>
      </w:r>
    </w:p>
    <w:p>
      <w:pPr>
        <w:spacing w:after="80"/>
        <w:jc w:val="center"/>
      </w:pPr>
      <w:r>
        <w:rPr>
          <w:rFonts w:ascii="Calibri" w:hAnsi="Calibri" w:eastAsia="Noto Sans SC Thin" w:cs="Calibri"/>
          <w:color w:val="1F4D78"/>
          <w:sz w:val="28"/>
        </w:rPr>
        <w:t>商品推广广告（SP）从诊断、ACOS 优化到投放规划</w:t>
      </w:r>
    </w:p>
    <w:p>
      <w:pPr>
        <w:spacing w:after="480"/>
        <w:jc w:val="center"/>
      </w:pPr>
      <w:r>
        <w:rPr>
          <w:rFonts w:ascii="Calibri" w:hAnsi="Calibri" w:eastAsia="Noto Sans SC Thin" w:cs="Calibri"/>
          <w:color w:val="5B6773"/>
          <w:sz w:val="21"/>
        </w:rPr>
        <w:t>根据上传 PDF 重新整理 · 详细文字表达 · 可搜索、可编辑</w:t>
      </w:r>
    </w:p>
    <w:p>
      <w:pPr>
        <w:spacing w:after="100"/>
        <w:jc w:val="center"/>
      </w:pPr>
      <w:r>
        <w:rPr>
          <w:rFonts w:ascii="Calibri" w:hAnsi="Calibri" w:eastAsia="Noto Sans SC Thin" w:cs="Calibri"/>
          <w:b/>
          <w:color w:val="1F4D78"/>
          <w:sz w:val="20"/>
        </w:rPr>
        <w:t>内容范围：</w:t>
      </w:r>
      <w:r>
        <w:rPr>
          <w:rFonts w:ascii="Calibri" w:hAnsi="Calibri" w:eastAsia="Noto Sans SC Thin" w:cs="Calibri"/>
          <w:color w:val="5B6773"/>
          <w:sz w:val="20"/>
        </w:rPr>
        <w:t>广告诊断、ACOS/TACOS、投放/搜索词/广告位/预算报告、核心关键词、变体与生命周期规划</w:t>
      </w:r>
    </w:p>
    <w:p>
      <w:pPr>
        <w:spacing w:after="100"/>
        <w:jc w:val="center"/>
      </w:pPr>
      <w:r>
        <w:rPr>
          <w:rFonts w:ascii="Calibri" w:hAnsi="Calibri" w:eastAsia="Noto Sans SC Thin" w:cs="Calibri"/>
          <w:b/>
          <w:color w:val="1F4D78"/>
          <w:sz w:val="20"/>
        </w:rPr>
        <w:t>整理依据：</w:t>
      </w:r>
      <w:r>
        <w:rPr>
          <w:rFonts w:ascii="Calibri" w:hAnsi="Calibri" w:eastAsia="Noto Sans SC Thin" w:cs="Calibri"/>
          <w:color w:val="5B6773"/>
          <w:sz w:val="20"/>
        </w:rPr>
        <w:t>上传的《亚马逊专题课-进阶广告诊断有优化全指导(2).pdf》</w:t>
      </w:r>
    </w:p>
    <w:p>
      <w:pPr>
        <w:spacing w:after="100"/>
        <w:jc w:val="center"/>
      </w:pPr>
      <w:r>
        <w:rPr>
          <w:rFonts w:ascii="Calibri" w:hAnsi="Calibri" w:eastAsia="Noto Sans SC Thin" w:cs="Calibri"/>
          <w:b/>
          <w:color w:val="1F4D78"/>
          <w:sz w:val="20"/>
        </w:rPr>
        <w:t>阅读提示：</w:t>
      </w:r>
      <w:r>
        <w:rPr>
          <w:rFonts w:ascii="Calibri" w:hAnsi="Calibri" w:eastAsia="Noto Sans SC Thin" w:cs="Calibri"/>
          <w:color w:val="5B6773"/>
          <w:sz w:val="20"/>
        </w:rPr>
        <w:t>课件中的阈值、竞价比例和 UI 功能均按原课件语境整理；实际执行前结合当前站点、利润和后台版本复核</w:t>
      </w:r>
    </w:p>
    <w:p>
      <w:r>
        <w:br w:type="page"/>
      </w:r>
    </w:p>
    <w:p>
      <w:pPr>
        <w:pStyle w:val="Heading1"/>
      </w:pPr>
      <w:r>
        <w:t>阅读说明与内容导航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页码：整理说明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 w:val="clear"/>
          </w:tcPr>
          <w:p>
            <w:pPr>
              <w:pStyle w:val="CalloutText"/>
            </w:pPr>
            <w:r>
              <w:rPr>
                <w:rFonts w:ascii="Calibri" w:hAnsi="Calibri" w:eastAsia="Noto Sans SC Thin" w:cs="Calibri"/>
                <w:b/>
                <w:color w:val="1F4D78"/>
                <w:sz w:val="20"/>
              </w:rPr>
              <w:t>整理说明：</w:t>
            </w:r>
            <w:r>
              <w:rPr>
                <w:rFonts w:ascii="Calibri" w:hAnsi="Calibri" w:eastAsia="Noto Sans SC Thin" w:cs="Calibri"/>
                <w:color w:val="182432"/>
                <w:sz w:val="20"/>
              </w:rPr>
              <w:t>本文件不是把 PDF 页面当作图片嵌入 Word，而是把课件中的主旨、公式、判断路径、报告用途和操作动作重新写成可编辑文字。为了便于复习，我按“先诊断、再优化、最后规划”的顺序重排，并保留原课件中的英文报告名，方便在 Seller Central 中对应。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原课件包含大量截图、数据表和示例图。截图中的市场基准曲线不适合在文字版中凭 OCR 逐字复刻，因此本文对这些部分保留其用途和判断逻辑，不臆造图表中的具体区间。凡出现“&gt;20 点击”“&gt;100 点击”“2 倍毛利率”“+10%～20%”等，均标注为课程示例或课程建议，不应当视为所有类目都适用的固定规则。</w:t>
      </w:r>
    </w:p>
    <w:p>
      <w:pPr>
        <w:pStyle w:val="Heading2"/>
      </w:pPr>
      <w:r>
        <w:t>内容导航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第一部分：先做广告诊断——确定问题是否真的能靠广告解决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第二部分：理解 ACOS——用公式找到可操作的优化杠杆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第三部分：按报告逐个优化——投放、搜索词、广告位、活动与预算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第四部分：核心关键词与投放结构——找全、验证、分组、匹配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第五部分：按商品生命周期做广告规划——测试、盈利、旺季、淘汰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第六部分：实操清单、决策表与指标词典</w:t>
      </w:r>
    </w:p>
    <w:p>
      <w:pPr>
        <w:pStyle w:val="Heading1"/>
      </w:pPr>
      <w:r>
        <w:t>全课主旨：广告不是独立变量，而是经营漏斗的一部分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页码：1–7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这套课程的核心不是教人盲目把竞价调高或调低，而是建立一条可复用的诊断链：先用店铺、商品、广告、库存四类数据确认商品到底遇到了什么问题；再判断问题位于需求、竞争、详情页还是广告投放；最后针对 CPC、转化率、客单价和流量质量采取动作。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课程最终要解决四个经营问题：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商品卖不动，是市场没有需求、竞争太强、详情页说服力不足，还是广告没有把商品送到正确的流量面前？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广告 ACOS 很高，是 CPC 过贵、流量不准、转化率不足，还是客单价/毛利结构不适合当前投放？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已有投放数据怎样变成关键词、否定词、商品投放、广告位和预算的具体动作？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商品处在测试期、盈利期、旺季或淘汰期时，广告目标、预算和流量结构应如何变化？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最重要的原则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课程给出的实际含义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先诊断，后优化</w:t>
            </w:r>
          </w:p>
        </w:tc>
        <w:tc>
          <w:tcPr>
            <w:tcW w:type="dxa" w:w="6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没有先排除需求、竞争、详情页和库存因素，就不能把销量问题直接归因于广告。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ACOS 看广告，TACOS 看生意</w:t>
            </w:r>
          </w:p>
        </w:tc>
        <w:tc>
          <w:tcPr>
            <w:tcW w:type="dxa" w:w="6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关键词/投放好不好主要看 ACOS；整个 ASIN 或店铺是否因广告亏损，要把 TACOS 与毛利率放在一起看。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数据够了才做判断</w:t>
            </w:r>
          </w:p>
        </w:tc>
        <w:tc>
          <w:tcPr>
            <w:tcW w:type="dxa" w:w="6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高点击、低转化与低点击、低转化不是同一件事；低数据量时应积累，而不是过早否定。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每次动作都要能解释</w:t>
            </w:r>
          </w:p>
        </w:tc>
        <w:tc>
          <w:tcPr>
            <w:tcW w:type="dxa" w:w="6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调价、否定、归档、加预算或改广告位，都应能回到某个报告字段和一个明确假设。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广告与 Listing 联动</w:t>
            </w:r>
          </w:p>
        </w:tc>
        <w:tc>
          <w:tcPr>
            <w:tcW w:type="dxa" w:w="6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广告报告只能告诉你流量和结果，详情页的图片、文案、价格、评价与供货会决定点击后是否成交。</w:t>
            </w:r>
          </w:p>
        </w:tc>
      </w:tr>
    </w:tbl>
    <w:p>
      <w:pPr>
        <w:spacing w:after="0"/>
      </w:pPr>
    </w:p>
    <w:p>
      <w:pPr>
        <w:pStyle w:val="Heading1"/>
      </w:pPr>
      <w:r>
        <w:t>第一部分：先做广告诊断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页码：8–39</w:t>
      </w:r>
    </w:p>
    <w:p>
      <w:pPr>
        <w:pStyle w:val="Heading2"/>
      </w:pPr>
      <w:r>
        <w:t>1. 诊断与优化的区别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页码：8–10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诊断回答“问题是什么、问题在哪里、优先处理谁”；优化回答“应该改哪个设置、改多少、改完怎样验证”。课程把二者放进循环，而不是把 ACOS 当成唯一目标。一个好的诊断结论至少应包含：对象（SKU/ASIN/父 ASIN）、问题（销量、亏损、流量、转化或库存）、证据（报告与指标）、排除项（非广告因素）、动作（具体优化方向）。</w:t>
      </w:r>
    </w:p>
    <w:p>
      <w:pPr>
        <w:pStyle w:val="Heading2"/>
      </w:pPr>
      <w:r>
        <w:t>2. 三步广告诊断工作流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页码：8–18、25–39</w:t>
      </w:r>
    </w:p>
    <w:p>
      <w:pPr>
        <w:pStyle w:val="GuideNumber"/>
        <w:numPr>
          <w:ilvl w:val="0"/>
          <w:numId w:val="12"/>
        </w:numPr>
      </w:pPr>
      <w:r>
        <w:rPr>
          <w:rFonts w:ascii="Calibri" w:hAnsi="Calibri" w:eastAsia="Noto Sans SC Thin" w:cs="Calibri"/>
          <w:color w:val="182432"/>
          <w:sz w:val="22"/>
        </w:rPr>
        <w:t>制作诊断表，明确 SKU 优先级。将推广的商品报告、业务报告、库存报告和产品属性合并到同一张表；先筛出数据足够且可能亏损的对象。</w:t>
      </w:r>
    </w:p>
    <w:p>
      <w:pPr>
        <w:pStyle w:val="GuideNumber"/>
        <w:numPr>
          <w:ilvl w:val="0"/>
          <w:numId w:val="12"/>
        </w:numPr>
      </w:pPr>
      <w:r>
        <w:rPr>
          <w:rFonts w:ascii="Calibri" w:hAnsi="Calibri" w:eastAsia="Noto Sans SC Thin" w:cs="Calibri"/>
          <w:color w:val="182432"/>
          <w:sz w:val="22"/>
        </w:rPr>
        <w:t>分析数据，排除非广告因素。沿广告漏斗检查：有没有人搜、有没有展现、有没有点击、点击后有没有购买；分别对应需求、广告排名/竞争、详情页点击率和详情页转化率。</w:t>
      </w:r>
    </w:p>
    <w:p>
      <w:pPr>
        <w:pStyle w:val="GuideNumber"/>
        <w:numPr>
          <w:ilvl w:val="0"/>
          <w:numId w:val="12"/>
        </w:numPr>
      </w:pPr>
      <w:r>
        <w:rPr>
          <w:rFonts w:ascii="Calibri" w:hAnsi="Calibri" w:eastAsia="Noto Sans SC Thin" w:cs="Calibri"/>
          <w:color w:val="182432"/>
          <w:sz w:val="22"/>
        </w:rPr>
        <w:t>得出结论，定位广告问题。只有在商品需求、竞争和详情页基本合理，同时 ACOS/TACOS 或流量效率异常时，才把对象正式交给广告优化。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课程示例强调“优先级 = 点击量足够 + 亏本”。这不是说点击量是唯一门槛，而是说先处理已经有足够结果、且对利润有实质影响的对象，再处理仅有少量曝光或点击的对象。</w:t>
      </w:r>
    </w:p>
    <w:p>
      <w:pPr>
        <w:pStyle w:val="Heading2"/>
      </w:pPr>
      <w:r>
        <w:t>3. 报告矩阵：每一份报告回答什么问题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页码：8–18、42–45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2100"/>
        <w:gridCol w:w="3000"/>
        <w:gridCol w:w="20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报告（中文）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后台英文名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主要回答的问题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典型动作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推广的商品报告</w:t>
            </w:r>
          </w:p>
        </w:tc>
        <w:tc>
          <w:tcPr>
            <w:tcW w:type="dxa" w:w="2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Advertised product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被投放的广告 ASIN/SKU 产生了多少展现、点击、花费、订单和销售额？</w:t>
            </w:r>
          </w:p>
        </w:tc>
        <w:tc>
          <w:tcPr>
            <w:tcW w:type="dxa" w:w="20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筛选问题 SKU；计算 ACOS、CTR、CR、CPC；与业务和库存数据拼接。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已购买商品报告</w:t>
            </w:r>
          </w:p>
        </w:tc>
        <w:tc>
          <w:tcPr>
            <w:tcW w:type="dxa" w:w="2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Purchased product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广告点击后买家实际购买了哪些 ASIN？是否产生其他 SKU 的关联销售？</w:t>
            </w:r>
          </w:p>
        </w:tc>
        <w:tc>
          <w:tcPr>
            <w:tcW w:type="dxa" w:w="20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区分广告 SKU 销量/销售额与其他 SKU 销量/销售额；发现关联购买、捆绑或归因偏差。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投放报告</w:t>
            </w:r>
          </w:p>
        </w:tc>
        <w:tc>
          <w:tcPr>
            <w:tcW w:type="dxa" w:w="2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Targeting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自动投放、关键词投放、商品/类目投放及匹配方式各自表现怎样？</w:t>
            </w:r>
          </w:p>
        </w:tc>
        <w:tc>
          <w:tcPr>
            <w:tcW w:type="dxa" w:w="20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看相关性、点击量、ACOS；调竞价、归档、观察或扩展相似投放。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搜索词展示量份额报告</w:t>
            </w:r>
          </w:p>
        </w:tc>
        <w:tc>
          <w:tcPr>
            <w:tcW w:type="dxa" w:w="2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Search term impression share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某个客户搜索词在账户层面的展示量份额、排名与竞争位置怎样？</w:t>
            </w:r>
          </w:p>
        </w:tc>
        <w:tc>
          <w:tcPr>
            <w:tcW w:type="dxa" w:w="20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判断提高竞价是否有机会赢得更多展示，避免盲目“抬杆”。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搜索词报告</w:t>
            </w:r>
          </w:p>
        </w:tc>
        <w:tc>
          <w:tcPr>
            <w:tcW w:type="dxa" w:w="2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Search term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客户实际搜索了什么词？哪些词带来点击、订单、销售额？</w:t>
            </w:r>
          </w:p>
        </w:tc>
        <w:tc>
          <w:tcPr>
            <w:tcW w:type="dxa" w:w="20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提炼高转化词、扩展同近义词、定位无关特征词、做精准/词组否定。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广告位报告</w:t>
            </w:r>
          </w:p>
        </w:tc>
        <w:tc>
          <w:tcPr>
            <w:tcW w:type="dxa" w:w="2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Placement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搜索结果顶部、搜索结果其余位置、商品页面、站外等位置分别怎样？</w:t>
            </w:r>
          </w:p>
        </w:tc>
        <w:tc>
          <w:tcPr>
            <w:tcW w:type="dxa" w:w="20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调整基础竞价与广告位加价比例；对高效位置倾斜。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广告活动报告</w:t>
            </w:r>
          </w:p>
        </w:tc>
        <w:tc>
          <w:tcPr>
            <w:tcW w:type="dxa" w:w="2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Campaign / Performance over time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整个广告活动在摘要、日、小时、周、月、季度维度上表现怎样？</w:t>
            </w:r>
          </w:p>
        </w:tc>
        <w:tc>
          <w:tcPr>
            <w:tcW w:type="dxa" w:w="20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找出低效活动、高效时段；设置竞价策略或时间表规则。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预算报告</w:t>
            </w:r>
          </w:p>
        </w:tc>
        <w:tc>
          <w:tcPr>
            <w:tcW w:type="dxa" w:w="2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Budget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广告是否因预算不足而提前下线？预算应放大还是限制？</w:t>
            </w:r>
          </w:p>
        </w:tc>
        <w:tc>
          <w:tcPr>
            <w:tcW w:type="dxa" w:w="20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高效活动提高预算或设效果规则；高 CPC/高 ACOS 活动控制预算；低数据活动保留最低运行量。</w:t>
            </w:r>
          </w:p>
        </w:tc>
      </w:tr>
    </w:tbl>
    <w:p>
      <w:pPr>
        <w:spacing w:after="0"/>
      </w:pPr>
    </w:p>
    <w:p>
      <w:pPr>
        <w:pStyle w:val="SmallNote"/>
        <w:keepNext/>
      </w:pPr>
      <w:r>
        <w:rPr>
          <w:rFonts w:ascii="Calibri" w:hAnsi="Calibri" w:eastAsia="Noto Sans SC Thin" w:cs="Calibri"/>
          <w:i/>
          <w:color w:val="5B6773"/>
          <w:sz w:val="18"/>
        </w:rPr>
        <w:t>整理依据：原 PDF 报告总览与“广告诊断/广告优化所需报告”页面。报告字段名称可能随站点与后台版本变化。</w:t>
      </w:r>
    </w:p>
    <w:p>
      <w:pPr>
        <w:pStyle w:val="Heading2"/>
      </w:pPr>
      <w:r>
        <w:t>4. 数据口径与整理频率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页码：8–24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课程建议尽量下载约 8 周数据，每两周做一次诊断；新品可按周观察。这样既能积累点击/订单，又不会让旧数据掩盖近期变化。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业务报告、广告报告、库存报告要使用相同或可解释的日期范围。广告销售有 7 天归因周期，因此库存最好取归因窗口对应的历史库存，而不是只看今天的库存。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在同一张诊断表中保留展现量、点击量、CTR、CPC、花费、广告销售额、订单数、销售量、CR、ACOS、TACOS、广告 SKU/其他 SKU 销售、全渠道销售、当前库存、毛利率和预计销售月数。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报告应在英文后台下载，以便模板字段保持一致；粘贴到诊断模板时不要随意改动工作表名称、表头或公式区域。不同站点的币种符号、表头后缀和库存口径需先核对。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课件中的含义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阅读时的注意点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Impressions / 展现量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广告被展示的次数。</w:t>
            </w:r>
          </w:p>
        </w:tc>
        <w:tc>
          <w:tcPr>
            <w:tcW w:type="dxa" w:w="35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展示多不等于流量质量好；还要看 CTR、CPC 和 CR。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Clicks / 点击量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买家点击广告的次数。</w:t>
            </w:r>
          </w:p>
        </w:tc>
        <w:tc>
          <w:tcPr>
            <w:tcW w:type="dxa" w:w="35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不同于 Sessions（买家访问次数）和 PV（页面浏览次数）。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CTR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点击量 ÷ 展现量。</w:t>
            </w:r>
          </w:p>
        </w:tc>
        <w:tc>
          <w:tcPr>
            <w:tcW w:type="dxa" w:w="35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主要反映广告展现后是否吸引点击，也受标题、主图、价格和位置影响。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CPC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广告花费 ÷ 点击量。</w:t>
            </w:r>
          </w:p>
        </w:tc>
        <w:tc>
          <w:tcPr>
            <w:tcW w:type="dxa" w:w="35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点击成本；竞价通常与 CPC 正相关，但二者不完全等同。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7 天订单/销售/销量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广告点击后 7 天内归因的订单、销售额与销售件数。</w:t>
            </w:r>
          </w:p>
        </w:tc>
        <w:tc>
          <w:tcPr>
            <w:tcW w:type="dxa" w:w="35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应与报告日期、库存日期和归因窗口保持一致。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CR / Conversion rate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7 天总订单数 ÷ 点击量。</w:t>
            </w:r>
          </w:p>
        </w:tc>
        <w:tc>
          <w:tcPr>
            <w:tcW w:type="dxa" w:w="35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低 CR 要先确认详情页和流量相关性，再决定是否只改广告。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 SKU/其他 SKU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广告商品本身的销售与由广告点击带来的其他商品销售。</w:t>
            </w:r>
          </w:p>
        </w:tc>
        <w:tc>
          <w:tcPr>
            <w:tcW w:type="dxa" w:w="35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其他 SKU 不是噪声，可能反映关联销售或变体承接。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预计销售月数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当前库存 ÷ 月平均销量。</w:t>
            </w:r>
          </w:p>
        </w:tc>
        <w:tc>
          <w:tcPr>
            <w:tcW w:type="dxa" w:w="35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看库存流转速度，不看库存绝对值；低意味着断货风险，高意味着库存周转慢。</w:t>
            </w:r>
          </w:p>
        </w:tc>
      </w:tr>
    </w:tbl>
    <w:p>
      <w:pPr>
        <w:spacing w:after="0"/>
      </w:pPr>
    </w:p>
    <w:p>
      <w:pPr>
        <w:pStyle w:val="Heading2"/>
      </w:pPr>
      <w:r>
        <w:t>5. 排除非广告因素：需求、竞争与详情页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页码：25–34</w:t>
      </w:r>
    </w:p>
    <w:p>
      <w:pPr>
        <w:pStyle w:val="Heading3"/>
      </w:pPr>
      <w:r>
        <w:t>5.1 先问：市场有没有需求？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页码：25–26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大众消费品通常有一定搜索需求；冷门小众品类、定位过窄的商品或激进备货的卖家需要重点排查需求。课程介绍了商机探测器（Opportunity Explorer）作为判断工具：查看细分市场、搜索词、近 90 天需求规模和趋势，再用自己的 CTR/CR 估算“如果需求上限如此，当前备货是否过量”。这里的估算是诊断思路，不是平台对销量的保证。</w:t>
      </w:r>
    </w:p>
    <w:p>
      <w:pPr>
        <w:pStyle w:val="Heading3"/>
      </w:pPr>
      <w:r>
        <w:t>5.2 再问：竞争是否把 CPC 推高？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页码：27–28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课件展示了美国、德国、英国、日本的 CPC 参考范围图。文字整理不复刻曲线的具体数值，因为图中基准会随类目、站点、时间变化。使用时应把自己的 CPC 与同站点、同类目、同时间窗口的参考数据对比：如果需求有展现、详情页 CTR/CR 也不差，但 CPC 明显高、ACOS 仍很高，竞争激烈可能是主因。</w:t>
      </w:r>
    </w:p>
    <w:p>
      <w:pPr>
        <w:pStyle w:val="Heading3"/>
      </w:pPr>
      <w:r>
        <w:t>5.3 最后问：详情页能不能把点击变成订单？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页码：29–34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800"/>
        <w:gridCol w:w="57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漏斗位置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主要指标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如果不达标，优先检查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有没有展现</w:t>
            </w:r>
          </w:p>
        </w:tc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Impressions</w:t>
            </w:r>
          </w:p>
        </w:tc>
        <w:tc>
          <w:tcPr>
            <w:tcW w:type="dxa" w:w="5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市场需求、关键词覆盖、竞价、预算、广告资格和库存。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展现后有没有点击</w:t>
            </w:r>
          </w:p>
        </w:tc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CTR</w:t>
            </w:r>
          </w:p>
        </w:tc>
        <w:tc>
          <w:tcPr>
            <w:tcW w:type="dxa" w:w="5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搜索结果中的标题、主图、价格、评分、评论量、优惠、相关性与广告位置。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点击后有没有成交</w:t>
            </w:r>
          </w:p>
        </w:tc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CR</w:t>
            </w:r>
          </w:p>
        </w:tc>
        <w:tc>
          <w:tcPr>
            <w:tcW w:type="dxa" w:w="5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图片/视频、五点和 A+、价格与优惠、变体承接、评价、配送/库存、流量是否准确。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课程给出的判断原则是：转化率基本达标时，重点优化广告；转化率明显不达标时，先同步优化详情页。CTR 与 CR 的站点参考图只用于方向判断，不应机械套用一个固定百分比。</w:t>
      </w:r>
    </w:p>
    <w:p>
      <w:pPr>
        <w:pStyle w:val="Heading2"/>
      </w:pPr>
      <w:r>
        <w:t>6. 库存、毛利与优先级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页码：19–24、35–39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库存是广告诊断不可缺少的经营约束。预计销售月数的公式是：当前库存 ÷ 月平均销量。课件示例把约 0.5 个月视为断货风险，把约 8 个月视为库存过高；另一个运营参考页给出低于约 1.5 个月可能有断货风险、高于约 3 个月可能影响 IPI 的提醒。两者共同表达的重点是：不要只问库存有多少件，要看按照当前销量速度还能卖多久。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盈利判断采用两个层次：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店铺/ASIN 经营是否因广告亏损：看 TACOS 与毛利率。TACOS 低于毛利率，理论上广告费用仍在毛利承受范围内；TACOS 高于毛利率，整体经营可能亏损。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某个关键词/投放是否高效：看 ACOS，并把 ACOS 与课程常用的“2 倍毛利率”比较。2 倍毛利率是课程内部的优化参考线，不是所有类目、利润结构或生命周期都必须遵守的固定标准。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优先级顺序：点击/数据已经足够且 TACOS/ACOS 造成利润问题的 SKU，优先于数据很少但暂时没有结论的 SKU；同时要把断货风险作为放量的硬约束。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3200"/>
        <w:gridCol w:w="39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诊断对象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优先观察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结论示例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A：高点击、ACOS/TACOS 高</w:t>
            </w:r>
          </w:p>
        </w:tc>
        <w:tc>
          <w:tcPr>
            <w:tcW w:type="dxa" w:w="3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CPC、CR、ASP、投放相关性、详情页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已排除明显非广告因素后，优先做广告成本与流量质量优化。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B：高点击、ACOS 可接受但库存少</w:t>
            </w:r>
          </w:p>
        </w:tc>
        <w:tc>
          <w:tcPr>
            <w:tcW w:type="dxa" w:w="3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预计销售月数、补货节奏、预算上限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广告可能有效，但不宜无条件放量；先解决供货约束。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C：低点击、无订单</w:t>
            </w:r>
          </w:p>
        </w:tc>
        <w:tc>
          <w:tcPr>
            <w:tcW w:type="dxa" w:w="3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数据量、展示份额、关键词覆盖、相关性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通常先积累或验证，不要过早判定为失败。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D：有订单但 CR 低/流量不准</w:t>
            </w:r>
          </w:p>
        </w:tc>
        <w:tc>
          <w:tcPr>
            <w:tcW w:type="dxa" w:w="3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搜索词、投放匹配、Listing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分离相关流量和无关流量，广告与详情页并行修正。</w:t>
            </w:r>
          </w:p>
        </w:tc>
      </w:tr>
    </w:tbl>
    <w:p>
      <w:pPr>
        <w:spacing w:after="0"/>
      </w:pPr>
    </w:p>
    <w:p>
      <w:pPr>
        <w:pStyle w:val="Heading2"/>
      </w:pPr>
      <w:r>
        <w:t>7. 多父 ASIN/多子体的诊断方法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页码：39–41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当店铺有很多父 ASIN 时，先按子体汇总会产生大量重复行，难以看出真正的问题。课件建议从 SKU 中提取共同的父 ASIN 字符，再做数据透视：展现量、点击量、订单量、花费、销售额等求和；CTR、CPC、CR、ACOS、TACOS 等比例指标要用汇总后的分子/分母重新计算，而不是简单平均各子体的百分比。</w:t>
      </w:r>
    </w:p>
    <w:p>
      <w:pPr>
        <w:pStyle w:val="GuideNumber"/>
        <w:numPr>
          <w:ilvl w:val="0"/>
          <w:numId w:val="13"/>
        </w:numPr>
      </w:pPr>
      <w:r>
        <w:rPr>
          <w:rFonts w:ascii="Calibri" w:hAnsi="Calibri" w:eastAsia="Noto Sans SC Thin" w:cs="Calibri"/>
          <w:color w:val="182432"/>
          <w:sz w:val="22"/>
        </w:rPr>
        <w:t>复制 SKU 列到新表，按 SKU 中父 ASIN 的固定共同字符提取父 ASIN；必要时使用 Excel“数据分列”。</w:t>
      </w:r>
    </w:p>
    <w:p>
      <w:pPr>
        <w:pStyle w:val="GuideNumber"/>
        <w:numPr>
          <w:ilvl w:val="0"/>
          <w:numId w:val="13"/>
        </w:numPr>
      </w:pPr>
      <w:r>
        <w:rPr>
          <w:rFonts w:ascii="Calibri" w:hAnsi="Calibri" w:eastAsia="Noto Sans SC Thin" w:cs="Calibri"/>
          <w:color w:val="182432"/>
          <w:sz w:val="22"/>
        </w:rPr>
        <w:t>以父 ASIN 做数据透视，先汇总量，再计算率；把业务报告、广告报告、库存和毛利率重新关联。</w:t>
      </w:r>
    </w:p>
    <w:p>
      <w:pPr>
        <w:pStyle w:val="GuideNumber"/>
        <w:numPr>
          <w:ilvl w:val="0"/>
          <w:numId w:val="13"/>
        </w:numPr>
      </w:pPr>
      <w:r>
        <w:rPr>
          <w:rFonts w:ascii="Calibri" w:hAnsi="Calibri" w:eastAsia="Noto Sans SC Thin" w:cs="Calibri"/>
          <w:color w:val="182432"/>
          <w:sz w:val="22"/>
        </w:rPr>
        <w:t>先定位有问题的父 ASIN，再回到子体比较，明确真正需要优化的颜色、尺寸、套装或组合。</w:t>
      </w:r>
    </w:p>
    <w:p>
      <w:pPr>
        <w:pStyle w:val="SmallNote"/>
        <w:keepNext/>
      </w:pPr>
      <w:r>
        <w:rPr>
          <w:rFonts w:ascii="Calibri" w:hAnsi="Calibri" w:eastAsia="Noto Sans SC Thin" w:cs="Calibri"/>
          <w:i/>
          <w:color w:val="5B6773"/>
          <w:sz w:val="18"/>
        </w:rPr>
        <w:t>课件还提醒：库存分类账可能只覆盖特定库存口径，欧洲站/日本站表头可能带有符号或尾部空格，导入模板前应核对。</w:t>
      </w:r>
    </w:p>
    <w:p>
      <w:pPr>
        <w:pStyle w:val="Heading1"/>
      </w:pPr>
      <w:r>
        <w:t>第二部分：理解 ACOS，找到可操作的优化杠杆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页码：42–55</w:t>
      </w:r>
    </w:p>
    <w:p>
      <w:pPr>
        <w:pStyle w:val="Heading2"/>
      </w:pPr>
      <w:r>
        <w:t>1. ACOS、TACOS、ROAS 的关系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页码：19、35、42–44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00"/>
        <w:gridCol w:w="3000"/>
        <w:gridCol w:w="47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公式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适合回答的问题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ACOS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广告花费 ÷ 广告归因销售额</w:t>
            </w:r>
          </w:p>
        </w:tc>
        <w:tc>
          <w:tcPr>
            <w:tcW w:type="dxa" w:w="4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这个广告、关键词或投放把广告预算转成销售的效率如何？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TACOS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广告花费 ÷ 全渠道/店铺总销售额</w:t>
            </w:r>
          </w:p>
        </w:tc>
        <w:tc>
          <w:tcPr>
            <w:tcW w:type="dxa" w:w="4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广告投入对整个 ASIN 或店铺经营的压力有多大？是否吃掉毛利？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ROAS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广告归因销售额 ÷ 广告花费</w:t>
            </w:r>
          </w:p>
        </w:tc>
        <w:tc>
          <w:tcPr>
            <w:tcW w:type="dxa" w:w="4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每 1 元广告花费带来多少广告销售额？与 ACOS 互为倒数关系（在同一口径下）。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毛利率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毛利润 ÷ 总销售额</w:t>
            </w:r>
          </w:p>
        </w:tc>
        <w:tc>
          <w:tcPr>
            <w:tcW w:type="dxa" w:w="4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广告费用是否有利润空间承受？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课件反复强调：ACOS 不是越低越好。ACOS 过高会造成亏损；ACOS 过低可能意味着出价过低、覆盖不足或销量被压制。真正的目标是把 ACOS 调到与利润、生命周期和增长目标相匹配的合理区间，并同时观察 TACOS、自然销售和库存。</w:t>
      </w:r>
    </w:p>
    <w:p>
      <w:pPr>
        <w:pStyle w:val="Heading2"/>
      </w:pPr>
      <w:r>
        <w:t>2. ACOS 的核心公式与指标传导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页码：46–53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设 CPC 为平均点击成本，CR 为点击到订单的转化率（用小数表示），ASP 为广告订单平均客单价，则：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 w:val="clear"/>
          </w:tcPr>
          <w:p>
            <w:pPr>
              <w:pStyle w:val="CalloutText"/>
            </w:pPr>
            <w:r>
              <w:rPr>
                <w:rFonts w:ascii="Calibri" w:hAnsi="Calibri" w:eastAsia="Noto Sans SC Thin" w:cs="Calibri"/>
                <w:b/>
                <w:color w:val="1F4D78"/>
                <w:sz w:val="20"/>
              </w:rPr>
              <w:t>核心公式：</w:t>
            </w:r>
            <w:r>
              <w:rPr>
                <w:rFonts w:ascii="Calibri" w:hAnsi="Calibri" w:eastAsia="Noto Sans SC Thin" w:cs="Calibri"/>
                <w:color w:val="182432"/>
                <w:sz w:val="20"/>
              </w:rPr>
              <w:t>ACOS = 广告花费 ÷ 广告销售额 = (CPC × 点击量) ÷ (ASP × 订单量) = CPC ÷ (CR × ASP)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这个公式把“ACOS 高”拆成了三种可能：点击太贵（CPC 高）、点击后不成交（CR 低）、每笔订单金额太低（ASP 低）。课程在广告结果指标中进一步指出：展现量和点击量只是漏斗宽度；如果 CTR、CR、CPC、ASP 等比例不变，只是整体流量缩小，ACOS 未必改变。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2800"/>
        <w:gridCol w:w="46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指标变化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在其他条件不变时对 ACOS 的方向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经营含义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CPC 降低</w:t>
            </w:r>
          </w:p>
        </w:tc>
        <w:tc>
          <w:tcPr>
            <w:tcW w:type="dxa" w:w="2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降低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直接降低每次点击的成本，但过度降价可能损失展示、排名和有效流量。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CR 提高</w:t>
            </w:r>
          </w:p>
        </w:tc>
        <w:tc>
          <w:tcPr>
            <w:tcW w:type="dxa" w:w="2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降低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相同点击带来更多订单；通常要靠更准的流量和更强的 Listing。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ASP 提高</w:t>
            </w:r>
          </w:p>
        </w:tc>
        <w:tc>
          <w:tcPr>
            <w:tcW w:type="dxa" w:w="2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降低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每次订单承接的销售额更高；还必须同时检查价格竞争力、转化率和毛利。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CTR 提高</w:t>
            </w:r>
          </w:p>
        </w:tc>
        <w:tc>
          <w:tcPr>
            <w:tcW w:type="dxa" w:w="2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不必然改变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通常扩大点击量；若提高的是相关流量，可能间接改善 CR，若只是好奇点击则可能变差。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展现/点击减少</w:t>
            </w:r>
          </w:p>
        </w:tc>
        <w:tc>
          <w:tcPr>
            <w:tcW w:type="dxa" w:w="2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在比例不变时大致不变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只会缩小花费和销售规模，不能把“少花钱”当作解决 ACOS 的根本办法。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预算降低</w:t>
            </w:r>
          </w:p>
        </w:tc>
        <w:tc>
          <w:tcPr>
            <w:tcW w:type="dxa" w:w="2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不直接改变公式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会限制可花费和展示覆盖，可能让销量下降；不能用来伪装效率提升。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课件给出的反例是：只降低预算来降低花费，或通过虚假交易提高销售额，都是错误思路。正确做法是找到影响 CPC、CR、ASP 的真实过程因素，持续测试并用报告验证。</w:t>
      </w:r>
    </w:p>
    <w:p>
      <w:pPr>
        <w:pStyle w:val="Heading2"/>
      </w:pPr>
      <w:r>
        <w:t>3. 影响 CPC、CR、ASP 的路径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页码：53–55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2000"/>
        <w:gridCol w:w="5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影响的指标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可检查的内容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广告设置</w:t>
            </w:r>
          </w:p>
        </w:tc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CPC、流量质量</w:t>
            </w:r>
          </w:p>
        </w:tc>
        <w:tc>
          <w:tcPr>
            <w:tcW w:type="dxa" w:w="5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关键词群、匹配方式、竞价、竞价策略、广告位加价。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对手动态</w:t>
            </w:r>
          </w:p>
        </w:tc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CPC、CR</w:t>
            </w:r>
          </w:p>
        </w:tc>
        <w:tc>
          <w:tcPr>
            <w:tcW w:type="dxa" w:w="5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竞品词群、竞品竞价、竞品价格/评分/详情页变化。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详情页质量</w:t>
            </w:r>
          </w:p>
        </w:tc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CTR、CR</w:t>
            </w:r>
          </w:p>
        </w:tc>
        <w:tc>
          <w:tcPr>
            <w:tcW w:type="dxa" w:w="5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图片、标题、五点、A+、评论、价格、优惠、配送、变体承接。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流量质量</w:t>
            </w:r>
          </w:p>
        </w:tc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CR、ACOS</w:t>
            </w:r>
          </w:p>
        </w:tc>
        <w:tc>
          <w:tcPr>
            <w:tcW w:type="dxa" w:w="5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关键词、商品/类目投放、活动流量、站外扩展流量是否准确。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商品与市场</w:t>
            </w:r>
          </w:p>
        </w:tc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ASP、CR、CPC</w:t>
            </w:r>
          </w:p>
        </w:tc>
        <w:tc>
          <w:tcPr>
            <w:tcW w:type="dxa" w:w="5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定价、促销、季节性、政策、供货和库存状态。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因此，广告优化不能只看一个数字：提高竞价可能带来更多展示，也可能推高 CPC；选择更准的词可能提高 CR；改主图或价格可能先影响 CTR，再影响 CR；提高客单价可能改善 ACOS，但若造成转化下降，最终结果未必更好。</w:t>
      </w:r>
    </w:p>
    <w:p>
      <w:pPr>
        <w:pStyle w:val="Heading1"/>
      </w:pPr>
      <w:r>
        <w:t>第三部分：按报告逐个优化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页码：56–116</w:t>
      </w:r>
    </w:p>
    <w:p>
      <w:pPr>
        <w:pStyle w:val="Heading2"/>
      </w:pPr>
      <w:r>
        <w:t>1. 投放报告：先判断相关性，再决定竞价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页码：56–73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Targeting Report 把自动广告、手动关键词、商品投放、类目投放和匹配类型放在同一张表里，是广告优化的第一张动作表。常见字段包括展现量、点击量、CTR、CPC、花费、ACOS、销售额、订单、销售量和 CR。分析时不要只按 ACOS 排序，应先看投放是否与商品相关，再看数据量，再看利润。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00"/>
        <w:gridCol w:w="3500"/>
        <w:gridCol w:w="28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条件（课程示例）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建议动作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为什么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点击量 &gt;20，ACOS 低于课程参考线（2×毛利率）</w:t>
            </w:r>
          </w:p>
        </w:tc>
        <w:tc>
          <w:tcPr>
            <w:tcW w:type="dxa" w:w="3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相关性成立时小幅提高竞价（课件示例 +10%～20%），或保持并观察。</w:t>
            </w:r>
          </w:p>
        </w:tc>
        <w:tc>
          <w:tcPr>
            <w:tcW w:type="dxa" w:w="28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已有一定数据，投放有效且还有获取流量的空间。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点击量 &gt;20，ACOS 略高/高于参考线</w:t>
            </w:r>
          </w:p>
        </w:tc>
        <w:tc>
          <w:tcPr>
            <w:tcW w:type="dxa" w:w="3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小幅降低竞价（课件多处示例约 -10%），无转化且长期低效可归档。</w:t>
            </w:r>
          </w:p>
        </w:tc>
        <w:tc>
          <w:tcPr>
            <w:tcW w:type="dxa" w:w="28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先降低 CPC 与无效花费；不要一次大幅改价造成流量跳水。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点击量 &lt;20 或长期没有足够点击</w:t>
            </w:r>
          </w:p>
        </w:tc>
        <w:tc>
          <w:tcPr>
            <w:tcW w:type="dxa" w:w="3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先判断相关性、展示份额、市场需求和出价；数据不足时固定或继续观察。</w:t>
            </w:r>
          </w:p>
        </w:tc>
        <w:tc>
          <w:tcPr>
            <w:tcW w:type="dxa" w:w="28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低数据量下“没有订单”不能证明投放一定无效。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完全不相关</w:t>
            </w:r>
          </w:p>
        </w:tc>
        <w:tc>
          <w:tcPr>
            <w:tcW w:type="dxa" w:w="3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否定/归档，视对象层级选择。</w:t>
            </w:r>
          </w:p>
        </w:tc>
        <w:tc>
          <w:tcPr>
            <w:tcW w:type="dxa" w:w="28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相关性错误会消耗点击且不会改善 CR。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 w:val="clear"/>
          </w:tcPr>
          <w:p>
            <w:pPr>
              <w:pStyle w:val="CalloutText"/>
            </w:pPr>
            <w:r>
              <w:rPr>
                <w:rFonts w:ascii="Calibri" w:hAnsi="Calibri" w:eastAsia="Noto Sans SC Thin" w:cs="Calibri"/>
                <w:b/>
                <w:color w:val="1F4D78"/>
                <w:sz w:val="20"/>
              </w:rPr>
              <w:t>不要机械套用：</w:t>
            </w:r>
            <w:r>
              <w:rPr>
                <w:rFonts w:ascii="Calibri" w:hAnsi="Calibri" w:eastAsia="Noto Sans SC Thin" w:cs="Calibri"/>
                <w:color w:val="182432"/>
                <w:sz w:val="20"/>
              </w:rPr>
              <w:t>课程阈值提示：20 点击只是课件案例中的工作门槛；不同类目、价格和 CR 下，需要用“出 1 单所需点击量”重新估算。</w:t>
            </w:r>
          </w:p>
        </w:tc>
      </w:tr>
    </w:tbl>
    <w:p>
      <w:pPr>
        <w:spacing w:after="0"/>
      </w:pPr>
    </w:p>
    <w:p>
      <w:pPr>
        <w:pStyle w:val="Heading3"/>
      </w:pPr>
      <w:r>
        <w:t>2. 自动投放：按四类匹配意图分开看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页码：58–62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自动投放常见的匹配类型包括 Close-match（紧密匹配）、Loose-match（宽泛匹配）、Substitutes（同类替代商品）和 Complements（关联商品）。课程建议在投放报告中识别这些类型，结合点击量、ACOS、CTR、CR 和详情页相关性调整竞价，而不是把自动广告当作一个整体。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有足够点击、ACOS 低于利润参考线：相关性成立时可小幅提价获取更多流量；若已经处于高展示份额，则先核对 Search Term Impression Share，避免无意义抬价。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有足够点击、ACOS 高于参考线：降低竞价或关闭/归档；若 CTR、CR 也很低，回头检查详情页用词与商品相关性。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点击很少：不要因为暂无订单立即关闭，先判断该自动匹配是否有市场需求、是否能触达正确场景。</w:t>
      </w:r>
    </w:p>
    <w:p>
      <w:pPr>
        <w:pStyle w:val="Heading3"/>
      </w:pPr>
      <w:r>
        <w:t>3. 商品投放与类目投放：先看替代关系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页码：62–67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商品投放的关键不是“对方也是同类商品”，而是买家在同一个购物场景下是否会把两个商品放在一起比较。课件案例把尺寸、颜色、材质、功能、价格、评分、评论量和使用场景列为相关性判断因素：虽然两款商品都叫座垫，但若差异很大、可替代性低，投放效果就可能很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商品/类目投放情况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建议检查与动作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有展现但长期没有点击</w:t>
            </w:r>
          </w:p>
        </w:tc>
        <w:tc>
          <w:tcPr>
            <w:tcW w:type="dxa" w:w="6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前台打开目标 ASIN，检查图片、价格、评分、材质/尺寸/场景是否与自身产品有比较关系；完全不相关则归档或否定，相关但数据少则适当提价后观察。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点击足够但 ACOS 很高或无销售</w:t>
            </w:r>
          </w:p>
        </w:tc>
        <w:tc>
          <w:tcPr>
            <w:tcW w:type="dxa" w:w="6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先核对目标页面是否真正可替代；相关但成本高可降低竞价；完全不匹配不要继续用加价解决。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有转化且 ACOS 可接受</w:t>
            </w:r>
          </w:p>
        </w:tc>
        <w:tc>
          <w:tcPr>
            <w:tcW w:type="dxa" w:w="6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保留并扩展相似 ASIN、同类目或相似价格/评分区间；用 Search Term Impression Share 判断是否值得继续提价。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类目投放过宽</w:t>
            </w:r>
          </w:p>
        </w:tc>
        <w:tc>
          <w:tcPr>
            <w:tcW w:type="dxa" w:w="6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用价格、评分、品牌、尺寸等筛选条件缩小范围；按报告结果拆成更容易控制的广告组。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存档与否定要区分：完全不相关的客户搜索词或目标通常适合否定；仍然相关但当前表现不好，通常先降价、观察或归档，避免把未来可能转化的语义全部堵死。</w:t>
      </w:r>
    </w:p>
    <w:p>
      <w:pPr>
        <w:pStyle w:val="Heading2"/>
      </w:pPr>
      <w:r>
        <w:t>4. 搜索词展示量份额：不要盲目做“抬杆人”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页码：67–70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Search Term Impression Share Report 用于看每个客户搜索词在账户层面的展示量份额、展示排名以及与其他广告主的比较。它的作用不是替代 ACOS，而是回答：这个词当前没有更多流量，究竟是因为竞价不够、预算不够，还是市场展示份额已经很高？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高转化且 ACOS 可接受，但展示份额/排名不高：提高竞价可能有意义，仍需同步检查预算与库存。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表现很好但已经是 Top 或展示份额很高：继续抬价可能只是增加成本，不一定显著增加有效流量。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展示份额很低但搜索词与商品不相关：不要用提价去“买”错误流量，应先纠正关键词、匹配或详情页相关性。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报告中保留搜索词、投放、匹配类型、广告活动、展示量、点击量、CTR、CPC、花费、订单和销售额，才能把市场位置与实际转化对上。</w:t>
      </w:r>
    </w:p>
    <w:p>
      <w:pPr>
        <w:pStyle w:val="Heading2"/>
      </w:pPr>
      <w:r>
        <w:t>5. 搜索词报告：把结果变成选词、Listing 和否定动作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页码：75–98</w:t>
      </w:r>
    </w:p>
    <w:p>
      <w:pPr>
        <w:pStyle w:val="Heading3"/>
      </w:pPr>
      <w:r>
        <w:t>5.1 搜索词报告本身不能直接提高 CR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页码：76–78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搜索词报告是已发生的流量结果，不能直接改变转化率。但分析它可以定位改进转化率的方向：筛选高转化关键词、寻找消费者关注的卖点、调整标题和文案用词、优化图片表达，以及在毛利约束下重新考虑价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搜索词结果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可转化的动作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高转化、ACOS 合理</w:t>
            </w:r>
          </w:p>
        </w:tc>
        <w:tc>
          <w:tcPr>
            <w:tcW w:type="dxa" w:w="5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加入手动精准/词组投放；核对展示份额与排名；在库存允许时小幅提价获取更多流量。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高点击、无转化，且与商品不相关</w:t>
            </w:r>
          </w:p>
        </w:tc>
        <w:tc>
          <w:tcPr>
            <w:tcW w:type="dxa" w:w="5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精准否定或词组否定；避免继续为错误意图付费。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高点击、无转化，但仍与商品相关</w:t>
            </w:r>
          </w:p>
        </w:tc>
        <w:tc>
          <w:tcPr>
            <w:tcW w:type="dxa" w:w="5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先检查 Listing、价格、评价和竞争；不要把所有相关词一律否定。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只有 1–2 次点击却产生订单</w:t>
            </w:r>
          </w:p>
        </w:tc>
        <w:tc>
          <w:tcPr>
            <w:tcW w:type="dxa" w:w="5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先视为小样本信号；不要只因为单次 ACOS 很低就大幅加价。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大量 1 点击、0 订单</w:t>
            </w:r>
          </w:p>
        </w:tc>
        <w:tc>
          <w:tcPr>
            <w:tcW w:type="dxa" w:w="5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这是常态，先聚合成语义/特征词再判断；单行数据往往不足。</w:t>
            </w:r>
          </w:p>
        </w:tc>
      </w:tr>
    </w:tbl>
    <w:p>
      <w:pPr>
        <w:spacing w:after="0"/>
      </w:pPr>
    </w:p>
    <w:p>
      <w:pPr>
        <w:pStyle w:val="Heading3"/>
      </w:pPr>
      <w:r>
        <w:t>5.2 特征词分析：从数千行搜索词中提炼结构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页码：78–80、82–94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课件用“office chair cushion”说明：单个搜索词只有 2 次点击、1 个订单，看起来转化率很高，但样本很小。把搜索词拆成 office、chair、cushion 等特征词后，分别汇总展现、点击、订单、花费和销售额，再计算 CPC、CR、ACOS，可以看出哪些词根在更大范围内贡献了订单。</w:t>
      </w:r>
    </w:p>
    <w:p>
      <w:pPr>
        <w:pStyle w:val="GuideNumber"/>
        <w:numPr>
          <w:ilvl w:val="0"/>
          <w:numId w:val="14"/>
        </w:numPr>
      </w:pPr>
      <w:r>
        <w:rPr>
          <w:rFonts w:ascii="Calibri" w:hAnsi="Calibri" w:eastAsia="Noto Sans SC Thin" w:cs="Calibri"/>
          <w:color w:val="182432"/>
          <w:sz w:val="22"/>
        </w:rPr>
        <w:t>从广告后台获取近 2 个月搜索词报告；按课件建议使用英文后台和 Summary 口径，必要时把 SP 与 SB 分开分析。</w:t>
      </w:r>
    </w:p>
    <w:p>
      <w:pPr>
        <w:pStyle w:val="GuideNumber"/>
        <w:numPr>
          <w:ilvl w:val="0"/>
          <w:numId w:val="14"/>
        </w:numPr>
      </w:pPr>
      <w:r>
        <w:rPr>
          <w:rFonts w:ascii="Calibri" w:hAnsi="Calibri" w:eastAsia="Noto Sans SC Thin" w:cs="Calibri"/>
          <w:color w:val="182432"/>
          <w:sz w:val="22"/>
        </w:rPr>
        <w:t>将搜索词、展现量、点击量、订单量、花费、销售额等字段导入 ST_Report；如果还需批量操作，可保留广告组合、活动和广告组信息。</w:t>
      </w:r>
    </w:p>
    <w:p>
      <w:pPr>
        <w:pStyle w:val="GuideNumber"/>
        <w:numPr>
          <w:ilvl w:val="0"/>
          <w:numId w:val="14"/>
        </w:numPr>
      </w:pPr>
      <w:r>
        <w:rPr>
          <w:rFonts w:ascii="Calibri" w:hAnsi="Calibri" w:eastAsia="Noto Sans SC Thin" w:cs="Calibri"/>
          <w:color w:val="182432"/>
          <w:sz w:val="22"/>
        </w:rPr>
        <w:t>使用 Split_Words 拆分特征词，合并单复数和明显停用词；同一搜索词中同一单词重复出现时只统计一次。</w:t>
      </w:r>
    </w:p>
    <w:p>
      <w:pPr>
        <w:pStyle w:val="GuideNumber"/>
        <w:numPr>
          <w:ilvl w:val="0"/>
          <w:numId w:val="14"/>
        </w:numPr>
      </w:pPr>
      <w:r>
        <w:rPr>
          <w:rFonts w:ascii="Calibri" w:hAnsi="Calibri" w:eastAsia="Noto Sans SC Thin" w:cs="Calibri"/>
          <w:color w:val="182432"/>
          <w:sz w:val="22"/>
        </w:rPr>
        <w:t>在结果表中计算 CPC = 花费 ÷ 点击量、CR = 订单量 ÷ 点击量、ACOS = 花费 ÷ 销售额；用颜色或分组识别 0 转化、低转化和高转化特征词。</w:t>
      </w:r>
    </w:p>
    <w:p>
      <w:pPr>
        <w:pStyle w:val="GuideNumber"/>
        <w:numPr>
          <w:ilvl w:val="0"/>
          <w:numId w:val="14"/>
        </w:numPr>
      </w:pPr>
      <w:r>
        <w:rPr>
          <w:rFonts w:ascii="Calibri" w:hAnsi="Calibri" w:eastAsia="Noto Sans SC Thin" w:cs="Calibri"/>
          <w:color w:val="182432"/>
          <w:sz w:val="22"/>
        </w:rPr>
        <w:t>把高流量、高转化、ACOS 可接受的特征词与核心商品词组合，扩展成新的关键词；把明显不相关且数据充分的特征词作为否定候选。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00"/>
        <w:gridCol w:w="3700"/>
        <w:gridCol w:w="33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特征词方向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扩展方式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课件语义示例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同近义/属性替换</w:t>
            </w:r>
          </w:p>
        </w:tc>
        <w:tc>
          <w:tcPr>
            <w:tcW w:type="dxa" w:w="37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对特征词做同义、近义、场景或属性替换，再与核心词组合。</w:t>
            </w:r>
          </w:p>
        </w:tc>
        <w:tc>
          <w:tcPr>
            <w:tcW w:type="dxa" w:w="3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desk → office/workstation 等方向；需回到搜索词报告验证含义。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上位词方向</w:t>
            </w:r>
          </w:p>
        </w:tc>
        <w:tc>
          <w:tcPr>
            <w:tcW w:type="dxa" w:w="37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把产品词替换为上位词及其同近义词。</w:t>
            </w:r>
          </w:p>
        </w:tc>
        <w:tc>
          <w:tcPr>
            <w:tcW w:type="dxa" w:w="3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cushion → pad / pillow 等产品词方向。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核心产品词方向</w:t>
            </w:r>
          </w:p>
        </w:tc>
        <w:tc>
          <w:tcPr>
            <w:tcW w:type="dxa" w:w="37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对核心商品词做产品词同近义替换，或替换卖点/修饰词。</w:t>
            </w:r>
          </w:p>
        </w:tc>
        <w:tc>
          <w:tcPr>
            <w:tcW w:type="dxa" w:w="3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seat cushion 与 chair cushion、office chair cushion 等组合。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功能/痛点组合</w:t>
            </w:r>
          </w:p>
        </w:tc>
        <w:tc>
          <w:tcPr>
            <w:tcW w:type="dxa" w:w="37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从客户实际搜索中找常与核心词共同出现的功能、痛点和场景词。</w:t>
            </w:r>
          </w:p>
        </w:tc>
        <w:tc>
          <w:tcPr>
            <w:tcW w:type="dxa" w:w="33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pain 与 back pain relief 联合出现较多，可围绕“缓解背痛 + 座垫”扩词。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工具的定位是批量统计和辅助判断，不是 Amazon 的预测或承诺。课程还提醒：工具建议的预计 CPC/CR/ACOS，要结合自身销售额、利润率、目标 ACOS 和库存决定是否执行。</w:t>
      </w:r>
    </w:p>
    <w:p>
      <w:pPr>
        <w:pStyle w:val="Heading3"/>
      </w:pPr>
      <w:r>
        <w:t>5.3 否定阈值：用点击需求倒推，不要死记数字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页码：89–94、98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课件多次用“精准否定约 &gt;20 点击、词组否定约 &gt;100 点击”作为示例，同时明确每个类目不同。更稳妥的做法是先计算：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 w:val="clear"/>
          </w:tcPr>
          <w:p>
            <w:pPr>
              <w:pStyle w:val="CalloutText"/>
            </w:pPr>
            <w:r>
              <w:rPr>
                <w:rFonts w:ascii="Calibri" w:hAnsi="Calibri" w:eastAsia="Noto Sans SC Thin" w:cs="Calibri"/>
                <w:b/>
                <w:color w:val="1F4D78"/>
                <w:sz w:val="20"/>
              </w:rPr>
              <w:t>点击量门槛：</w:t>
            </w:r>
            <w:r>
              <w:rPr>
                <w:rFonts w:ascii="Calibri" w:hAnsi="Calibri" w:eastAsia="Noto Sans SC Thin" w:cs="Calibri"/>
                <w:color w:val="182432"/>
                <w:sz w:val="20"/>
              </w:rPr>
              <w:t>出 1 单所需点击量 ≈ 1 ÷ 广告 CR；出 10 单所需点击量 ≈ 10 ÷ 广告 CR。课件示例还设置了最低参考值：前者不低于约 5，后者不低于约 50。</w:t>
            </w:r>
          </w:p>
        </w:tc>
      </w:tr>
    </w:tbl>
    <w:p>
      <w:pPr>
        <w:spacing w:after="0"/>
      </w:pP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若特征词/搜索词点击量很少，先看相关性和预估 CR，不要因为 0 订单就马上否定。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若点击量已经达到自己类目对应的“出 1 单”或“出 10 单”需要量，仍然 0 转化，再结合目标 ACOS、CPC 和 ASP 判断否定类型。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目标 ACOS 可以设为该 ASIN 当前广告 ACOS 的基准线（课件示例出现 50%），再给出上下容忍区间；这只是工具参数，不代表利润目标本身。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完全不相关的词可以直接否定；相关但低效的词可先降低竞价、换广告组或归档，避免误伤潜在有效流量。</w:t>
      </w:r>
    </w:p>
    <w:p>
      <w:pPr>
        <w:pStyle w:val="Heading2"/>
      </w:pPr>
      <w:r>
        <w:t>6. 广告位报告：把预算倾向高效位置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页码：100–103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Placement Report 通常按“搜索结果顶部（首页）”“搜索结果其余位置”“商品页面”，以及可能出现的站外位置拆分表现。应分别计算 CTR、CPC、CR、ACOS，判断是某个位置带来更高转化，还是只是点击更贵。</w:t>
      </w:r>
    </w:p>
    <w:p>
      <w:pPr>
        <w:pStyle w:val="GuideNumber"/>
        <w:numPr>
          <w:ilvl w:val="0"/>
          <w:numId w:val="15"/>
        </w:numPr>
      </w:pPr>
      <w:r>
        <w:rPr>
          <w:rFonts w:ascii="Calibri" w:hAnsi="Calibri" w:eastAsia="Noto Sans SC Thin" w:cs="Calibri"/>
          <w:color w:val="182432"/>
          <w:sz w:val="22"/>
        </w:rPr>
        <w:t>先查看各广告活动的广告位数据，不要从整体 ACOS 直接推断某个位置。</w:t>
      </w:r>
    </w:p>
    <w:p>
      <w:pPr>
        <w:pStyle w:val="GuideNumber"/>
        <w:numPr>
          <w:ilvl w:val="0"/>
          <w:numId w:val="15"/>
        </w:numPr>
      </w:pPr>
      <w:r>
        <w:rPr>
          <w:rFonts w:ascii="Calibri" w:hAnsi="Calibri" w:eastAsia="Noto Sans SC Thin" w:cs="Calibri"/>
          <w:color w:val="182432"/>
          <w:sz w:val="22"/>
        </w:rPr>
        <w:t>对高效、相关且库存允许的位置，适度提高位置竞价；对高花费低转化位置降低浮动比例或整体基础竞价。</w:t>
      </w:r>
    </w:p>
    <w:p>
      <w:pPr>
        <w:pStyle w:val="GuideNumber"/>
        <w:numPr>
          <w:ilvl w:val="0"/>
          <w:numId w:val="15"/>
        </w:numPr>
      </w:pPr>
      <w:r>
        <w:rPr>
          <w:rFonts w:ascii="Calibri" w:hAnsi="Calibri" w:eastAsia="Noto Sans SC Thin" w:cs="Calibri"/>
          <w:color w:val="182432"/>
          <w:sz w:val="22"/>
        </w:rPr>
        <w:t>课件示例给出两种动作：热门搜索位置竞价增加 20%；或整体竞价下调 10%，同时热门搜索位置增加 30%。具体比例必须基于实际数据小幅测试。</w:t>
      </w:r>
    </w:p>
    <w:p>
      <w:pPr>
        <w:pStyle w:val="GuideNumber"/>
        <w:numPr>
          <w:ilvl w:val="0"/>
          <w:numId w:val="15"/>
        </w:numPr>
      </w:pPr>
      <w:r>
        <w:rPr>
          <w:rFonts w:ascii="Calibri" w:hAnsi="Calibri" w:eastAsia="Noto Sans SC Thin" w:cs="Calibri"/>
          <w:color w:val="182432"/>
          <w:sz w:val="22"/>
        </w:rPr>
        <w:t>如果某个词已经有很高展示份额，先结合展示份额报告确认是否还有增长空间；位置加价不能替代相关性和转化问题。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 w:val="clear"/>
          </w:tcPr>
          <w:p>
            <w:pPr>
              <w:pStyle w:val="CalloutText"/>
            </w:pPr>
            <w:r>
              <w:rPr>
                <w:rFonts w:ascii="Calibri" w:hAnsi="Calibri" w:eastAsia="Noto Sans SC Thin" w:cs="Calibri"/>
                <w:b/>
                <w:color w:val="1F4D78"/>
                <w:sz w:val="20"/>
              </w:rPr>
              <w:t>平台更新提示：</w:t>
            </w:r>
            <w:r>
              <w:rPr>
                <w:rFonts w:ascii="Calibri" w:hAnsi="Calibri" w:eastAsia="Noto Sans SC Thin" w:cs="Calibri"/>
                <w:color w:val="182432"/>
                <w:sz w:val="20"/>
              </w:rPr>
              <w:t>原 PDF 还介绍了 2025 年 5 月的受众竞价更新，以及其他搜索位置最高可增加至较高比例的 UI 功能。此类平台功能会变化，文档仅保留课件中的概念，执行前应以当前后台为准。</w:t>
            </w:r>
          </w:p>
        </w:tc>
      </w:tr>
    </w:tbl>
    <w:p>
      <w:pPr>
        <w:spacing w:after="0"/>
      </w:pPr>
    </w:p>
    <w:p>
      <w:pPr>
        <w:pStyle w:val="Heading2"/>
      </w:pPr>
      <w:r>
        <w:t>7. 广告活动报告：按活动、按小时找到控制点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页码：104–110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Campaign Report 可以按摘要、每日、每小时、每周、每月和每季度查看。课件说明：非每小时报告的回溯期可较长，而每小时报告的回溯期较短；实际可用范围以当前后台为准。按摘要看活动整体，按小时看什么时候值得增加竞价或预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4400"/>
        <w:gridCol w:w="31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分析层级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课件操作路径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输出动作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摘要</w:t>
            </w:r>
          </w:p>
        </w:tc>
        <w:tc>
          <w:tcPr>
            <w:tcW w:type="dxa" w:w="4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按点击量降序；多个关键词的活动可用约 100 点击作案例门槛，单关键词活动可用约 20 点击作案例门槛。</w:t>
            </w:r>
          </w:p>
        </w:tc>
        <w:tc>
          <w:tcPr>
            <w:tcW w:type="dxa" w:w="31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数据不足继续固定；ACOS 高于参考线则降低或用规则控制；表现好再评估提高/降低。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按小时</w:t>
            </w:r>
          </w:p>
        </w:tc>
        <w:tc>
          <w:tcPr>
            <w:tcW w:type="dxa" w:w="4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下载尽可能长周期；以开始时间（每小时）做透视，汇总展现、点击、花费、订单、销售额。</w:t>
            </w:r>
          </w:p>
        </w:tc>
        <w:tc>
          <w:tcPr>
            <w:tcW w:type="dxa" w:w="31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计算 CPC、CTR、CR、ACOS，标出有订单或 ACOS 低于参考线的时段。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时间表规则</w:t>
            </w:r>
          </w:p>
        </w:tc>
        <w:tc>
          <w:tcPr>
            <w:tcW w:type="dxa" w:w="4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把表现好的时段转成日/周/小时规则；竞价调整先小幅测试。</w:t>
            </w:r>
          </w:p>
        </w:tc>
        <w:tc>
          <w:tcPr>
            <w:tcW w:type="dxa" w:w="31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高效时段提高竞价或预算，低效时段保持/降低；要同时考虑季节、库存和样本量。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按小时分析的重点不是把所有低效小时都暂停，而是找出“有订单或 ACOS 合理”的时段，再用时间表规则把预算和竞价倾向这些窗口。时间数据样本不足时，保持固定比频繁开关更稳妥。</w:t>
      </w:r>
    </w:p>
    <w:p>
      <w:pPr>
        <w:pStyle w:val="Heading2"/>
      </w:pPr>
      <w:r>
        <w:t>8. 预算报告：预算影响覆盖与花费，不直接决定 ACOS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页码：111–116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预算的直接作用是控制每天能花多少钱、广告能在线多久以及可能损失多少展示；预算不直接出现在 ACOS = CPC/(CR×ASP) 的公式中。但预算会改变流量规模和数据积累，进而影响销售和经营结果。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3300"/>
        <w:gridCol w:w="3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预算策略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适用场景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操作原则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持续放开预算</w:t>
            </w:r>
          </w:p>
        </w:tc>
        <w:tc>
          <w:tcPr>
            <w:tcW w:type="dxa" w:w="3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ACOS 已控制在可承受范围，库存充足，希望扩大流量。</w:t>
            </w:r>
          </w:p>
        </w:tc>
        <w:tc>
          <w:tcPr>
            <w:tcW w:type="dxa" w:w="38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设置足够大的预算保持较长在线时间；花不完不是问题，前提是效率和库存可承受。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固定每日预算</w:t>
            </w:r>
          </w:p>
        </w:tc>
        <w:tc>
          <w:tcPr>
            <w:tcW w:type="dxa" w:w="3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CPC/ACOS 较高，或商品处在盈亏边缘，需要控制投入。</w:t>
            </w:r>
          </w:p>
        </w:tc>
        <w:tc>
          <w:tcPr>
            <w:tcW w:type="dxa" w:w="38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设置可承受的每日上限，持续观察花费、订单、TACOS 和自然销售。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短期压低预算</w:t>
            </w:r>
          </w:p>
        </w:tc>
        <w:tc>
          <w:tcPr>
            <w:tcW w:type="dxa" w:w="3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促销结束、库存紧张、暂时需要收缩成本或等待 Listing 修复。</w:t>
            </w:r>
          </w:p>
        </w:tc>
        <w:tc>
          <w:tcPr>
            <w:tcW w:type="dxa" w:w="38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用于短期控制，不要把长期低预算当作 ACOS 优化本身。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按效果/时间规则增加</w:t>
            </w:r>
          </w:p>
        </w:tc>
        <w:tc>
          <w:tcPr>
            <w:tcW w:type="dxa" w:w="3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某些 ACOS、ROAS、CTR、CR 达到目标，或特定高流量日期/小时到来。</w:t>
            </w:r>
          </w:p>
        </w:tc>
        <w:tc>
          <w:tcPr>
            <w:tcW w:type="dxa" w:w="38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例如 ACOS ≤20% 时增加 50% 预算是课件示例；应替换成自己的利润目标。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SC Thin" w:cs="Calibri"/>
          <w:color w:val="182432"/>
          <w:sz w:val="22"/>
        </w:rPr>
        <w:t>预算报告中可看“平均预算内活跃时间”：100% 说明预算足以覆盖全天；低于 100% 说明广告存在因预算提前下线的情况。高效活动要补足预算，低效活动则不应只因为“没花完”就加预算。数据不足的活动保留最低预算持续跑，暂停且确认不再需要的活动可以归档。</w:t>
      </w:r>
    </w:p>
    <w:p>
      <w:pPr>
        <w:pStyle w:val="Heading1"/>
      </w:pPr>
      <w:r>
        <w:t>第四部分：核心关键词与投放结构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页码：118–130</w:t>
      </w:r>
    </w:p>
    <w:p>
      <w:pPr>
        <w:pStyle w:val="Heading2"/>
      </w:pPr>
      <w:r>
        <w:t>1. 核心关键词的定义与两个难点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页码：118–119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核心关键词是消费者搜索目标商品时最常用的关键词。课程认为找词有两个难点：第一，如何尽可能找全新品的多种叫法；第二，找到后如何验证它对自己的商品是否真的准确。单一来源往往会遗漏叫法，搜索频率高也不等于与自己的产品匹配。</w:t>
      </w:r>
    </w:p>
    <w:p>
      <w:pPr>
        <w:pStyle w:val="Heading2"/>
      </w:pPr>
      <w:r>
        <w:t>2. 用 ABA 找全核心关键词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页码：120–122</w:t>
      </w:r>
    </w:p>
    <w:p>
      <w:pPr>
        <w:pStyle w:val="GuideNumber"/>
        <w:numPr>
          <w:ilvl w:val="0"/>
          <w:numId w:val="16"/>
        </w:numPr>
      </w:pPr>
      <w:r>
        <w:rPr>
          <w:rFonts w:ascii="Calibri" w:hAnsi="Calibri" w:eastAsia="Noto Sans SC Thin" w:cs="Calibri"/>
          <w:color w:val="182432"/>
          <w:sz w:val="22"/>
        </w:rPr>
        <w:t>采集竞品 ASIN：从自己相关小类的 BSR Top 20–100 中收集；有多个相关小类就累加后去重。删除功能、场景明显不同的商品，只保留相似、同功能、同场景的头部竞品，最终控制在 100 个以内。</w:t>
      </w:r>
    </w:p>
    <w:p>
      <w:pPr>
        <w:pStyle w:val="GuideNumber"/>
        <w:numPr>
          <w:ilvl w:val="0"/>
          <w:numId w:val="16"/>
        </w:numPr>
      </w:pPr>
      <w:r>
        <w:rPr>
          <w:rFonts w:ascii="Calibri" w:hAnsi="Calibri" w:eastAsia="Noto Sans SC Thin" w:cs="Calibri"/>
          <w:color w:val="182432"/>
          <w:sz w:val="22"/>
        </w:rPr>
        <w:t>用 ABA 搜索 ASIN：在当前或旺季的相关周次输入竞品 ASIN；可以把 Excel 中的 ASIN 以空格分隔后批量粘贴。</w:t>
      </w:r>
    </w:p>
    <w:p>
      <w:pPr>
        <w:pStyle w:val="GuideNumber"/>
        <w:numPr>
          <w:ilvl w:val="0"/>
          <w:numId w:val="16"/>
        </w:numPr>
      </w:pPr>
      <w:r>
        <w:rPr>
          <w:rFonts w:ascii="Calibri" w:hAnsi="Calibri" w:eastAsia="Noto Sans SC Thin" w:cs="Calibri"/>
          <w:color w:val="182432"/>
          <w:sz w:val="22"/>
        </w:rPr>
        <w:t>找出最短核心词：查看 Top Search Terms、Top Clicked Brands/Products 和 Search Frequency Rank，挑出不同的、最短的产品核心词，不要把所有长尾词都当作核心词。普通品类可能提炼出 5 个甚至更多核心词。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ABA 的价值是从头部竞品真实承接的搜索行为中发现词群。课件示例中，座垫品类出现 seat cushion、chair cushions、office chair cushion、car seat cushion 等不同核心方向；这些词需要再回到自己的产品上验证，而不能直接照抄。</w:t>
      </w:r>
    </w:p>
    <w:p>
      <w:pPr>
        <w:pStyle w:val="Heading2"/>
      </w:pPr>
      <w:r>
        <w:t>3. 用商机探测器找核心关键词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页码：123–125</w:t>
      </w:r>
    </w:p>
    <w:p>
      <w:pPr>
        <w:pStyle w:val="GuideNumber"/>
        <w:numPr>
          <w:ilvl w:val="0"/>
          <w:numId w:val="17"/>
        </w:numPr>
      </w:pPr>
      <w:r>
        <w:rPr>
          <w:rFonts w:ascii="Calibri" w:hAnsi="Calibri" w:eastAsia="Noto Sans SC Thin" w:cs="Calibri"/>
          <w:color w:val="182432"/>
          <w:sz w:val="22"/>
        </w:rPr>
        <w:t>查找细分市场：既可以从类目层级逐层找到小类，也可以用几个已知核心词、长尾词或 ASIN 搜索机会。</w:t>
      </w:r>
    </w:p>
    <w:p>
      <w:pPr>
        <w:pStyle w:val="GuideNumber"/>
        <w:numPr>
          <w:ilvl w:val="0"/>
          <w:numId w:val="17"/>
        </w:numPr>
      </w:pPr>
      <w:r>
        <w:rPr>
          <w:rFonts w:ascii="Calibri" w:hAnsi="Calibri" w:eastAsia="Noto Sans SC Thin" w:cs="Calibri"/>
          <w:color w:val="182432"/>
          <w:sz w:val="22"/>
        </w:rPr>
        <w:t>确定最接近的 Niche：比较类目结果与关键词/ASIN 结果，反复出现的同一细分市场通常更接近自己的商品；不要只选搜索量最大的市场。</w:t>
      </w:r>
    </w:p>
    <w:p>
      <w:pPr>
        <w:pStyle w:val="GuideNumber"/>
        <w:numPr>
          <w:ilvl w:val="0"/>
          <w:numId w:val="17"/>
        </w:numPr>
      </w:pPr>
      <w:r>
        <w:rPr>
          <w:rFonts w:ascii="Calibri" w:hAnsi="Calibri" w:eastAsia="Noto Sans SC Thin" w:cs="Calibri"/>
          <w:color w:val="182432"/>
          <w:sz w:val="22"/>
        </w:rPr>
        <w:t>查看搜索词版块：打开细分市场详情，进入 Search Terms/搜索词，下载关键词列表，再结合需求、竞争和产品属性筛选。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课件用“19×19×4 英寸、防水、可清洗、防滑、可调带、蓝色”的户外座垫作为练习，说明选词必须同时考虑类目、使用场景、尺寸、材质和功能。工具结果给出的是市场语言，不会自动替你证明产品具备这些属性。</w:t>
      </w:r>
    </w:p>
    <w:p>
      <w:pPr>
        <w:pStyle w:val="Heading2"/>
      </w:pPr>
      <w:r>
        <w:t>4. 验证核心关键词是否准确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页码：125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把 ABA 与商机探测器得到的核心词去重后，逐个在前台搜索。课程给出的验证动作是观察搜索结果是否高度相似：如果结果页中的主流商品与自己的功能、场景、规格和购买意图高度一致，词才更可能准确；如果结果页被另一种商品占满，或自己的产品几乎不属于该语义，就不应因为搜索量大而强行投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3700"/>
        <w:gridCol w:w="36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验证维度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通过标准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不通过时的处理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产品类别</w:t>
            </w:r>
          </w:p>
        </w:tc>
        <w:tc>
          <w:tcPr>
            <w:tcW w:type="dxa" w:w="37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搜索结果主流商品属于同一产品类别。</w:t>
            </w:r>
          </w:p>
        </w:tc>
        <w:tc>
          <w:tcPr>
            <w:tcW w:type="dxa" w:w="3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降级为观察词、补充词或否定候选。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使用场景</w:t>
            </w:r>
          </w:p>
        </w:tc>
        <w:tc>
          <w:tcPr>
            <w:tcW w:type="dxa" w:w="37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买家任务和使用场景与自己的商品一致。</w:t>
            </w:r>
          </w:p>
        </w:tc>
        <w:tc>
          <w:tcPr>
            <w:tcW w:type="dxa" w:w="3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不要用广告预算教育错误市场；回到更准确的场景词。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关键属性</w:t>
            </w:r>
          </w:p>
        </w:tc>
        <w:tc>
          <w:tcPr>
            <w:tcW w:type="dxa" w:w="37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尺寸、材质、功能、颜色等不与商品冲突。</w:t>
            </w:r>
          </w:p>
        </w:tc>
        <w:tc>
          <w:tcPr>
            <w:tcW w:type="dxa" w:w="3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不能承诺商品不具备的属性；必要时从词组中排除。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竞争与可赢性</w:t>
            </w:r>
          </w:p>
        </w:tc>
        <w:tc>
          <w:tcPr>
            <w:tcW w:type="dxa" w:w="37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商品有机会在结果页被比较，成本与利润可承受。</w:t>
            </w:r>
          </w:p>
        </w:tc>
        <w:tc>
          <w:tcPr>
            <w:tcW w:type="dxa" w:w="3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结合 CPC、展示份额、ACOS 和预算决定是否投入。</w:t>
            </w:r>
          </w:p>
        </w:tc>
      </w:tr>
    </w:tbl>
    <w:p>
      <w:pPr>
        <w:spacing w:after="0"/>
      </w:pPr>
    </w:p>
    <w:p>
      <w:pPr>
        <w:pStyle w:val="Heading2"/>
      </w:pPr>
      <w:r>
        <w:t>5. 变体如何打广告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页码：126–127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子体较少时，课件建议每个子体单独创建广告活动，以便分别设置预算、关键词和竞价，也便于定位哪个颜色/尺寸/套装需要优化。子体很多时，由于主要关键词相同，可以先将子体放在共同的自动/手动活动中获取数据，再按表现把高转化、低转化或需要重点推广的子体拆分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分组的目的不是增加活动数量，而是让预算、关键词、广告位和分析对象与商品差异匹配。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其他 SKU 销售要保留在诊断里，因为一个子体获得广告点击后可能承接了另一个子体的订单。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拆分前先确认数据量；样本极少时过早拆分会让每个活动都没有足够信息。</w:t>
      </w:r>
    </w:p>
    <w:p>
      <w:pPr>
        <w:pStyle w:val="Heading2"/>
      </w:pPr>
      <w:r>
        <w:t>6. 匹配方式如何选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页码：128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匹配方式要取决于关键词含义和推广商品上下文。课件用“Yoga pants”示意：广泛匹配可能覆盖相关词和扩展表达；词组匹配强调关键词的语序，适合多单词品牌词或语序改变会影响语义的词（例如“hdmi to vga”）；精准匹配要求用户搜索词与关键词高度一致。实际后台可能还有近似变体、词形变化等规则，正式执行时应核对当前帮助页面。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4100"/>
        <w:gridCol w:w="34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匹配方式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适合的任务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主要风险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Broad 广泛</w:t>
            </w:r>
          </w:p>
        </w:tc>
        <w:tc>
          <w:tcPr>
            <w:tcW w:type="dxa" w:w="4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新品测试、扩展词群、收集搜索词数据。</w:t>
            </w:r>
          </w:p>
        </w:tc>
        <w:tc>
          <w:tcPr>
            <w:tcW w:type="dxa" w:w="34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流量范围大，需用搜索词报告和否定词控制无关流量。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Phrase 词组</w:t>
            </w:r>
          </w:p>
        </w:tc>
        <w:tc>
          <w:tcPr>
            <w:tcW w:type="dxa" w:w="4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保留语序和组合意图，逐步控制词群。</w:t>
            </w:r>
          </w:p>
        </w:tc>
        <w:tc>
          <w:tcPr>
            <w:tcW w:type="dxa" w:w="34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如果语序不影响含义，可能限制覆盖；数据量不足时不要急于否定。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Exact 精准</w:t>
            </w:r>
          </w:p>
        </w:tc>
        <w:tc>
          <w:tcPr>
            <w:tcW w:type="dxa" w:w="41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承接已验证的高转化核心词，控制出价和预算。</w:t>
            </w:r>
          </w:p>
        </w:tc>
        <w:tc>
          <w:tcPr>
            <w:tcW w:type="dxa" w:w="34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覆盖更窄，过早把所有词都做精准会降低探索能力。</w:t>
            </w:r>
          </w:p>
        </w:tc>
      </w:tr>
    </w:tbl>
    <w:p>
      <w:pPr>
        <w:spacing w:after="0"/>
      </w:pPr>
    </w:p>
    <w:p>
      <w:pPr>
        <w:pStyle w:val="Heading2"/>
      </w:pPr>
      <w:r>
        <w:t>7. 一套完整的投放框架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页码：129–132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课件示例的框架表包含：广告组合名称、广告活动名称、竞价策略、预算、投放方式、广告组名称、关键词/商品/类目以及各自的建议竞价。可按以下命名逻辑建立自己的结构：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建议包含的信息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8"/>
              </w:rPr>
              <w:t>示例逻辑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广告组合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品牌/店铺/品类。</w:t>
            </w:r>
          </w:p>
        </w:tc>
        <w:tc>
          <w:tcPr>
            <w:tcW w:type="dxa" w:w="3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2024 夏季户外座垫。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广告活动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ASIN/子体 + 自动/关键词/商品/类目 + 阶段。</w:t>
            </w:r>
          </w:p>
        </w:tc>
        <w:tc>
          <w:tcPr>
            <w:tcW w:type="dxa" w:w="3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户外座垫-蓝色-手动-核心词-测试。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广告组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词群或目标类型。</w:t>
            </w:r>
          </w:p>
        </w:tc>
        <w:tc>
          <w:tcPr>
            <w:tcW w:type="dxa" w:w="3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核心词、品牌词、竞品词、商品 ASIN、类目筛选。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投放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关键词、匹配类型、商品 ASIN、类目和筛选条件。</w:t>
            </w:r>
          </w:p>
        </w:tc>
        <w:tc>
          <w:tcPr>
            <w:tcW w:type="dxa" w:w="3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核心词 Broad；高转化词 Exact；目标 ASIN；价格高于自身最低价的类目。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竞价与规则</w:t>
            </w:r>
          </w:p>
        </w:tc>
        <w:tc>
          <w:tcPr>
            <w:tcW w:type="dxa" w:w="39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基础竞价、广告位加价、动态竞价、预算规则。</w:t>
            </w:r>
          </w:p>
        </w:tc>
        <w:tc>
          <w:tcPr>
            <w:tcW w:type="dxa" w:w="3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8"/>
              </w:rPr>
              <w:t>先用固定/提高或降低获取数据，再按报告设置规则。</w:t>
            </w:r>
          </w:p>
        </w:tc>
      </w:tr>
    </w:tbl>
    <w:p>
      <w:pPr>
        <w:spacing w:after="0"/>
      </w:pPr>
    </w:p>
    <w:p>
      <w:pPr>
        <w:pStyle w:val="Heading1"/>
      </w:pPr>
      <w:r>
        <w:t>第五部分：按商品生命周期做广告规划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页码：131–138</w:t>
      </w:r>
    </w:p>
    <w:p>
      <w:pPr>
        <w:pStyle w:val="Heading2"/>
      </w:pPr>
      <w:r>
        <w:t>1. 测试期：目标是获取足够有效数据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页码：131–133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新品测试期的第一目标不是立刻做到最低 ACOS，而是快速获得足够且有效的流量样本，判断商品、关键词、详情页和市场的真实表现。课件建议的获取数据方案是：自动投放 + 手动投放，四类关键词广泛匹配 + 商品投放；新品可使用固定竞价或“提高和降低”竞价策略获取数据。前期投入较高的代价是换取更快的判断，前提是毛利、库存和现金流允许。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课程把测试优化描述为“约 2 周 × 4 轮”的持续循环，并强调广告与 Listing 同时优化。还要关注 IPI、库存和旺季窗口：如果库存或供应跟不上，广告数据再好也不能无限放量。</w:t>
      </w:r>
    </w:p>
    <w:p>
      <w:pPr>
        <w:pStyle w:val="GuideNumber"/>
        <w:numPr>
          <w:ilvl w:val="0"/>
          <w:numId w:val="18"/>
        </w:numPr>
      </w:pPr>
      <w:r>
        <w:rPr>
          <w:rFonts w:ascii="Calibri" w:hAnsi="Calibri" w:eastAsia="Noto Sans SC Thin" w:cs="Calibri"/>
          <w:color w:val="182432"/>
          <w:sz w:val="22"/>
        </w:rPr>
        <w:t>第一轮：覆盖核心词、长尾词、品牌词、自动匹配和相近商品，建立搜索词与投放数据。</w:t>
      </w:r>
    </w:p>
    <w:p>
      <w:pPr>
        <w:pStyle w:val="GuideNumber"/>
        <w:numPr>
          <w:ilvl w:val="0"/>
          <w:numId w:val="18"/>
        </w:numPr>
      </w:pPr>
      <w:r>
        <w:rPr>
          <w:rFonts w:ascii="Calibri" w:hAnsi="Calibri" w:eastAsia="Noto Sans SC Thin" w:cs="Calibri"/>
          <w:color w:val="182432"/>
          <w:sz w:val="22"/>
        </w:rPr>
        <w:t>第二轮：从搜索词报告提取高转化词、无关词和特征词；调整 Listing 的表达和广告结构。</w:t>
      </w:r>
    </w:p>
    <w:p>
      <w:pPr>
        <w:pStyle w:val="GuideNumber"/>
        <w:numPr>
          <w:ilvl w:val="0"/>
          <w:numId w:val="18"/>
        </w:numPr>
      </w:pPr>
      <w:r>
        <w:rPr>
          <w:rFonts w:ascii="Calibri" w:hAnsi="Calibri" w:eastAsia="Noto Sans SC Thin" w:cs="Calibri"/>
          <w:color w:val="182432"/>
          <w:sz w:val="22"/>
        </w:rPr>
        <w:t>第三轮：把高转化词拆到精准/词组，把无关词否定，把有效商品投放和类目扩展出来。</w:t>
      </w:r>
    </w:p>
    <w:p>
      <w:pPr>
        <w:pStyle w:val="GuideNumber"/>
        <w:numPr>
          <w:ilvl w:val="0"/>
          <w:numId w:val="18"/>
        </w:numPr>
      </w:pPr>
      <w:r>
        <w:rPr>
          <w:rFonts w:ascii="Calibri" w:hAnsi="Calibri" w:eastAsia="Noto Sans SC Thin" w:cs="Calibri"/>
          <w:color w:val="182432"/>
          <w:sz w:val="22"/>
        </w:rPr>
        <w:t>第四轮：结合 ACOS、TACOS、库存和自然销售判断是否进入盈利期，或继续测试/修正商品。</w:t>
      </w:r>
    </w:p>
    <w:p>
      <w:pPr>
        <w:pStyle w:val="Heading2"/>
      </w:pPr>
      <w:r>
        <w:t>2. 盈利期：在可控 ACOS 下扩大有效流量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页码：134–136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盈利期的主要方向是扩大流量，而不是简单压低广告投入。随着商品热卖，原来表现不佳的流量可能因为商品历史转化率、排名、评价和社会证明改善而开始转化；可以从搜索词报告补充品牌词、商品投放和新的相关词。若商品历史转化率已经较高，可适度调低 CPC 并观察广告排名，用竞价优化流量成本。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把高转化/低 ACOS 词做精准承接，同时保留广泛词作为探索入口。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对广泛和长尾结构加入精准否定低效词，让流量结构能持续更新而不是无限堆积浪费。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品牌词能贡献销售趋势且不容易被竞争对手抢走；对于消耗品，复购带来的自然销售有助于降低广告占比。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围绕关键词报告开发关联商品，例如服装的配饰/工具/套装，不只增加颜色、尺码或变体。</w:t>
      </w:r>
    </w:p>
    <w:p>
      <w:pPr>
        <w:pStyle w:val="Heading2"/>
      </w:pPr>
      <w:r>
        <w:t>3. 旺季：提前、分阶段、小幅提高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页码：137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课件不建议等到旺季峰值再一次性把竞价翻倍。建议在峰值前约两周开始，对核心词分阶段提价；每次以约 5 天为周期、每次增加约 5%～30% 作为课程示例，观察搜索结果顶部与其他位置的 CPC、ACOS、订单和库存。实际调整应取决于竞争变化、利润空间、预算和补货能力。</w:t>
      </w:r>
    </w:p>
    <w:p>
      <w:pPr>
        <w:pStyle w:val="Heading2"/>
      </w:pPr>
      <w:r>
        <w:t>4. 淘汰/清库存期：目标是库存归零且保住利润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页码：138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件把清库存的目标概括为：库存为零、维持利润、在约六个月内完成。广告结构可在降价后增加商品投放，以提高库存消耗速度；同时保留能够带来订单的强相关词，删除无效流量，避免为了清库存而无边界亏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3800"/>
        <w:gridCol w:w="2300"/>
        <w:gridCol w:w="17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选词/投放方向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广告目标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关键约束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测试期</w:t>
            </w:r>
          </w:p>
        </w:tc>
        <w:tc>
          <w:tcPr>
            <w:tcW w:type="dxa" w:w="3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强相关核心词广泛、强相关长尾广泛、自有品牌广泛、自动/商品投放。</w:t>
            </w:r>
          </w:p>
        </w:tc>
        <w:tc>
          <w:tcPr>
            <w:tcW w:type="dxa" w:w="2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快速积累有效流量和可分析数据。</w:t>
            </w:r>
          </w:p>
        </w:tc>
        <w:tc>
          <w:tcPr>
            <w:tcW w:type="dxa" w:w="1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现金流、毛利、库存、详情页质量。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盈利期</w:t>
            </w:r>
          </w:p>
        </w:tc>
        <w:tc>
          <w:tcPr>
            <w:tcW w:type="dxa" w:w="3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强相关词 + 精准否定低效词；高转化/低 ACOS 精准词；品牌词与拓展词。</w:t>
            </w:r>
          </w:p>
        </w:tc>
        <w:tc>
          <w:tcPr>
            <w:tcW w:type="dxa" w:w="2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扩大有效流量、提高利润和自然销售占比。</w:t>
            </w:r>
          </w:p>
        </w:tc>
        <w:tc>
          <w:tcPr>
            <w:tcW w:type="dxa" w:w="1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TACOS、库存、竞争和自然排名。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旺季</w:t>
            </w:r>
          </w:p>
        </w:tc>
        <w:tc>
          <w:tcPr>
            <w:tcW w:type="dxa" w:w="3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核心词与高效广告位分阶段加价。</w:t>
            </w:r>
          </w:p>
        </w:tc>
        <w:tc>
          <w:tcPr>
            <w:tcW w:type="dxa" w:w="2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抓住高需求窗口，最大化可盈利销量。</w:t>
            </w:r>
          </w:p>
        </w:tc>
        <w:tc>
          <w:tcPr>
            <w:tcW w:type="dxa" w:w="1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提前准备、库存、预算和边际 ACOS。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淘汰期</w:t>
            </w:r>
          </w:p>
        </w:tc>
        <w:tc>
          <w:tcPr>
            <w:tcW w:type="dxa" w:w="38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保留强相关和已验证词；降价后选择相关商品投放。</w:t>
            </w:r>
          </w:p>
        </w:tc>
        <w:tc>
          <w:tcPr>
            <w:tcW w:type="dxa" w:w="23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加快库存消耗并完成清仓。</w:t>
            </w:r>
          </w:p>
        </w:tc>
        <w:tc>
          <w:tcPr>
            <w:tcW w:type="dxa" w:w="17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六个月目标、可承受亏损、库存为零。</w:t>
            </w:r>
          </w:p>
        </w:tc>
      </w:tr>
    </w:tbl>
    <w:p>
      <w:pPr>
        <w:spacing w:after="0"/>
      </w:pPr>
    </w:p>
    <w:p>
      <w:pPr>
        <w:pStyle w:val="Heading1"/>
      </w:pPr>
      <w:r>
        <w:t>第六部分：实操清单、决策表与指标词典</w:t>
      </w:r>
      <w:r>
        <w:rPr>
          <w:rFonts w:ascii="Calibri" w:hAnsi="Calibri" w:eastAsia="Noto Sans SC Thin" w:cs="Calibri"/>
          <w:b w:val="0"/>
          <w:i/>
          <w:color w:val="5B6773"/>
          <w:sz w:val="17"/>
        </w:rPr>
        <w:t xml:space="preserve">  · 原 PDF 页码：全课归纳</w:t>
      </w:r>
    </w:p>
    <w:p>
      <w:pPr>
        <w:pStyle w:val="Heading2"/>
      </w:pPr>
      <w:r>
        <w:t>1. 每次广告诊断的执行清单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确认日期窗口、币种、归因周期、库存日期和报告语言；确保广告、业务、库存数据能对齐。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先按父 ASIN/SKU 汇总，再计算 CTR、CPC、CR、ACOS、TACOS；不要平均百分比。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先看点击量和预计销售月数，再看 TACOS 与毛利率，确定优先级。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按漏斗排查：需求/展现 → CTR/详情页吸引力 → CR/详情页说服力 → CPC/竞争与竞价 → ACOS/TACOS/利润。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确认问题确实能通过广告解决后，再进入 Targeting → Search Term Impression Share → Search Term → Placement → Campaign → Budget 的报告路径。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每次调整只改变少量变量，记录调整日期、原值、新值、假设、观察窗口和验证结果。</w:t>
      </w:r>
    </w:p>
    <w:p>
      <w:pPr>
        <w:pStyle w:val="GuideBullet"/>
        <w:numPr>
          <w:ilvl w:val="0"/>
          <w:numId w:val="10"/>
        </w:numPr>
      </w:pPr>
      <w:r>
        <w:rPr>
          <w:rFonts w:ascii="Calibri" w:hAnsi="Calibri" w:eastAsia="Noto Sans SC Thin" w:cs="Calibri"/>
          <w:color w:val="182432"/>
          <w:sz w:val="22"/>
        </w:rPr>
        <w:t>高效投放放量前先检查库存；高 ACOS 降价前先检查是否会导致流量断崖；所有否定动作先确认相关性。</w:t>
      </w:r>
    </w:p>
    <w:p>
      <w:pPr>
        <w:pStyle w:val="Heading2"/>
      </w:pPr>
      <w:r>
        <w:t>2. 从现象到动作的快速决策表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00"/>
        <w:gridCol w:w="3000"/>
        <w:gridCol w:w="3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第一判断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展现低、点击也低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需求/关键词覆盖/竞价/预算可能不足。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查商机探测器、搜索词展示份额、投放相关性、预算与库存。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展现高、CTR 低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详情页在搜索结果中不吸引或不相关。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优化主图、标题、价格/优惠、评分；检查搜索词和广告位置。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点击高、CR 低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流量与详情页至少有一处不匹配。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先检查搜索词相关性、Listing、价格、评价、配送和变体。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CPC 高、CR 尚可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竞争/位置/竞价成本高。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查 CPC 参考和展示份额，分位置降基础竞价或调整位置加价。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ACOS 高、TACOS 也高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广告效率和整体生意都承压。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先处理高花费低转化投放、预算和详情页，避免只看单个关键词。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ACOS 高、TACOS 可接受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广告本身不高效，但自然销售或关联销售在支撑。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区分品牌/增长目标与利润目标，分投放优化而不是一刀切。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ACOS 低但销量小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可能出价/预算过低，或只剩少量高意图词。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查展示份额、库存和自然排名；在可盈利条件下逐步扩量。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库存月数 &lt;1.5 或接近断货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供货是当前硬约束。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先补货/控制预算，不对高效广告无限加价。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库存月数 &gt;3 或约 8 个月</w:t>
            </w:r>
          </w:p>
        </w:tc>
        <w:tc>
          <w:tcPr>
            <w:tcW w:type="dxa" w:w="30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库存周转慢。</w:t>
            </w:r>
          </w:p>
        </w:tc>
        <w:tc>
          <w:tcPr>
            <w:tcW w:type="dxa" w:w="39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检查销量预期、定价、流量和清库存规划；避免继续激进备货。</w:t>
            </w:r>
          </w:p>
        </w:tc>
      </w:tr>
    </w:tbl>
    <w:p>
      <w:pPr>
        <w:spacing w:after="0"/>
      </w:pPr>
    </w:p>
    <w:p>
      <w:pPr>
        <w:pStyle w:val="Heading2"/>
      </w:pPr>
      <w:r>
        <w:t>3. 常用公式词典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2500"/>
        <w:gridCol w:w="46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英文/缩写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中文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pStyle w:val="TableHeader"/>
              <w:spacing w:after="0"/>
            </w:pPr>
            <w:r>
              <w:rPr>
                <w:rFonts w:ascii="Calibri" w:hAnsi="Calibri" w:eastAsia="Noto Sans SC Thin" w:cs="Calibri"/>
                <w:b/>
                <w:color w:val="0B2545"/>
                <w:sz w:val="17"/>
              </w:rPr>
              <w:t>公式或说明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Impressions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展现量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广告被展示的次数。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Clicks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点击量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买家点击广告的次数。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CTR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点击率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Clicks ÷ Impressions。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CPC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平均点击成本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Spend ÷ Clicks。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CR / CVR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转化率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Attributed orders ÷ Clicks。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ASP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平均客单价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Attributed ad sales ÷ attributed orders；注意与平均售价/件数口径保持一致。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ACOS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广告成本销售比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Ad spend ÷ attributed ad sales。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TACOS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总广告成本销售比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Ad spend ÷ total store/ASIN sales。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ROAS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广告支出回报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Attributed ad sales ÷ ad spend。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Expected months of sales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预计销售月数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Current inventory ÷ monthly average sales。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Search Term Impression Share</w:t>
            </w:r>
          </w:p>
        </w:tc>
        <w:tc>
          <w:tcPr>
            <w:tcW w:type="dxa" w:w="250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搜索词展示量份额</w:t>
            </w:r>
          </w:p>
        </w:tc>
        <w:tc>
          <w:tcPr>
            <w:tcW w:type="dxa" w:w="4660"/>
          </w:tcPr>
          <w:p>
            <w:pPr>
              <w:pStyle w:val="TableText"/>
              <w:spacing w:after="0"/>
            </w:pPr>
            <w:r>
              <w:rPr>
                <w:rFonts w:ascii="Calibri" w:hAnsi="Calibri" w:eastAsia="Noto Sans SC Thin" w:cs="Calibri"/>
                <w:color w:val="182432"/>
                <w:sz w:val="17"/>
              </w:rPr>
              <w:t>账户在某客户搜索词上的展示量份额/排名维度，用于判断竞争位置和加价空间。</w:t>
            </w:r>
          </w:p>
        </w:tc>
      </w:tr>
    </w:tbl>
    <w:p>
      <w:pPr>
        <w:spacing w:after="0"/>
      </w:pPr>
    </w:p>
    <w:p>
      <w:pPr>
        <w:pStyle w:val="Heading2"/>
      </w:pPr>
      <w:r>
        <w:t>4. 最后复盘：把广告当作可验证的经营系统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一份合格的广告优化记录，不应只写“ACOS 从 60% 降到 40%”。更完整的记录应说明：当时哪个 SKU/词/投放出现了什么问题；数据是否足够；需求、竞争、详情页和库存是否已排除；调整了 CPC、CR 还是 ASP 的哪条路径；使用了哪个报告；观察了多长时间；结果是否同时改善了订单、TACOS、利润和库存周转。</w:t>
      </w:r>
    </w:p>
    <w:p>
      <w:pPr/>
      <w:r>
        <w:rPr>
          <w:rFonts w:ascii="Calibri" w:hAnsi="Calibri" w:eastAsia="Noto Sans SC Thin" w:cs="Calibri"/>
          <w:color w:val="182432"/>
          <w:sz w:val="22"/>
        </w:rPr>
        <w:t>课程的最终方法论可以压缩为一句话：先用全局数据确认经营问题，再用广告漏斗定位原因；用 ACOS 评估投放效率，用 TACOS 判断生意是否承受得住；最后通过分报告、分阶段、分子体和小步测试，把广告从“花钱买流量”变成“用数据管理流量质量”。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 w:val="clear"/>
          </w:tcPr>
          <w:p>
            <w:pPr>
              <w:pStyle w:val="CalloutText"/>
            </w:pPr>
            <w:r>
              <w:rPr>
                <w:rFonts w:ascii="Calibri" w:hAnsi="Calibri" w:eastAsia="Noto Sans SC Thin" w:cs="Calibri"/>
                <w:b/>
                <w:color w:val="1F4D78"/>
                <w:sz w:val="20"/>
              </w:rPr>
              <w:t>使用边界：</w:t>
            </w:r>
            <w:r>
              <w:rPr>
                <w:rFonts w:ascii="Calibri" w:hAnsi="Calibri" w:eastAsia="Noto Sans SC Thin" w:cs="Calibri"/>
                <w:color w:val="182432"/>
                <w:sz w:val="20"/>
              </w:rPr>
              <w:t>本文字版用于学习、复盘和建立操作清单；Amazon 后台的报告字段、竞价功能、广告位和受众设置可能更新，实际执行时请以当前站点后台和自己的利润/库存数据为准。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Noto Sans SC Thin" w:cs="Calibri"/>
        <w:color w:val="5B6773"/>
        <w:sz w:val="18"/>
      </w:rPr>
      <w:t xml:space="preserve">页码 </w:t>
    </w:r>
    <w:r>
      <w:rPr>
        <w:rFonts w:ascii="Calibri" w:hAnsi="Calibri" w:eastAsia="Noto Sans SC Thin" w:cs="Calibri"/>
        <w:color w:val="5B67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16" w:val="left"/>
      </w:tabs>
      <w:spacing w:after="0" w:line="240" w:lineRule="auto"/>
      <w:jc w:val="left"/>
    </w:pPr>
    <w:r>
      <w:rPr>
        <w:rFonts w:ascii="Calibri" w:hAnsi="Calibri" w:eastAsia="Noto Sans SC Thin" w:cs="Calibri"/>
        <w:b/>
        <w:color w:val="5B6773"/>
        <w:sz w:val="17"/>
      </w:rPr>
      <w:t>亚马逊专题课 · 文字整理版</w:t>
    </w:r>
    <w:r>
      <w:rPr>
        <w:rFonts w:ascii="Calibri" w:hAnsi="Calibri" w:eastAsia="Noto Sans SC Thin" w:cs="Calibri"/>
        <w:color w:val="5B6773"/>
        <w:sz w:val="17"/>
      </w:rPr>
      <w:tab/>
      <w:t>进阶广告诊断与优化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 w:hint="default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SC Thin" w:cs="Calibri"/>
      <w:color w:val="1824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Noto Sans SC Thin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Noto Sans SC Thin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Noto Sans SC Thin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before="0" w:after="40" w:line="276" w:lineRule="auto"/>
    </w:pPr>
    <w:rPr>
      <w:rFonts w:ascii="Calibri" w:hAnsi="Calibri" w:eastAsia="Noto Sans SC Thin" w:cs="Calibri"/>
      <w:b w:val="0"/>
      <w:color w:val="5B6773"/>
      <w:sz w:val="18"/>
    </w:rPr>
  </w:style>
  <w:style w:type="paragraph" w:customStyle="1" w:styleId="TableText">
    <w:name w:val="Table Text"/>
    <w:pPr>
      <w:spacing w:before="0" w:after="80" w:line="259" w:lineRule="auto"/>
    </w:pPr>
    <w:rPr>
      <w:rFonts w:ascii="Calibri" w:hAnsi="Calibri" w:eastAsia="Noto Sans SC Thin" w:cs="Calibri"/>
      <w:b w:val="0"/>
      <w:color w:val="182432"/>
      <w:sz w:val="18"/>
    </w:rPr>
  </w:style>
  <w:style w:type="paragraph" w:customStyle="1" w:styleId="TableHeader">
    <w:name w:val="Table Header"/>
    <w:pPr>
      <w:spacing w:before="0" w:after="80" w:line="276" w:lineRule="auto"/>
    </w:pPr>
    <w:rPr>
      <w:rFonts w:ascii="Calibri" w:hAnsi="Calibri" w:eastAsia="Noto Sans SC Thin" w:cs="Calibri"/>
      <w:b/>
      <w:color w:val="0B2545"/>
      <w:sz w:val="18"/>
    </w:rPr>
  </w:style>
  <w:style w:type="paragraph" w:customStyle="1" w:styleId="CalloutText">
    <w:name w:val="Callout Text"/>
    <w:pPr>
      <w:spacing w:before="0" w:after="80" w:line="276" w:lineRule="auto"/>
    </w:pPr>
    <w:rPr>
      <w:rFonts w:ascii="Calibri" w:hAnsi="Calibri" w:eastAsia="Noto Sans SC Thin" w:cs="Calibri"/>
      <w:b w:val="0"/>
      <w:color w:val="182432"/>
      <w:sz w:val="20"/>
    </w:rPr>
  </w:style>
  <w:style w:type="paragraph" w:customStyle="1" w:styleId="Kicker">
    <w:name w:val="Kicker"/>
    <w:pPr>
      <w:spacing w:before="0" w:after="80" w:line="276" w:lineRule="auto"/>
    </w:pPr>
    <w:rPr>
      <w:rFonts w:ascii="Calibri" w:hAnsi="Calibri" w:eastAsia="Noto Sans SC Thin" w:cs="Calibri"/>
      <w:b/>
      <w:color w:val="7A5A00"/>
      <w:sz w:val="21"/>
    </w:rPr>
  </w:style>
  <w:style w:type="paragraph" w:customStyle="1" w:styleId="GuideBullet">
    <w:name w:val="Guide Bullet"/>
    <w:pPr>
      <w:spacing w:after="80" w:line="300" w:lineRule="auto"/>
      <w:ind w:left="540" w:hanging="271"/>
    </w:pPr>
    <w:rPr>
      <w:rFonts w:ascii="Calibri" w:hAnsi="Calibri" w:eastAsia="Noto Sans SC Thin" w:cs="Calibri"/>
      <w:color w:val="182432"/>
      <w:sz w:val="22"/>
    </w:rPr>
  </w:style>
  <w:style w:type="paragraph" w:customStyle="1" w:styleId="GuideNumber">
    <w:name w:val="Guide Number"/>
    <w:pPr>
      <w:spacing w:after="80" w:line="300" w:lineRule="auto"/>
      <w:ind w:left="540" w:hanging="271"/>
    </w:pPr>
    <w:rPr>
      <w:rFonts w:ascii="Calibri" w:hAnsi="Calibri" w:eastAsia="Noto Sans SC Thin" w:cs="Calibri"/>
      <w:color w:val="18243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亚马逊专题课：进阶广告诊断与优化全指导（文字整理版）</dc:title>
  <dc:subject>商品推广广告（SP）广告诊断、ACOS优化与投放规划</dc:subject>
  <dc:creator>根据用户提供的 PDF 整理</dc:creator>
  <cp:keywords/>
  <dc:description>文字整理版；不含图片页嵌入。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