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6E330" w14:textId="240B1F35" w:rsidR="00D7255A" w:rsidRPr="003626E4" w:rsidRDefault="00D7255A" w:rsidP="003626E4"/>
    <w:p>
      <w:pPr>
        <w:jc w:val="center"/>
      </w:pPr>
      <w:r>
        <w:rPr>
          <w:rFonts w:ascii="黑体" w:hAnsi="黑体" w:eastAsia="黑体"/>
          <w:b/>
          <w:i w:val="0"/>
          <w:sz w:val="32"/>
        </w:rPr>
        <w:t>CSAD-AT：面向分布式集群的阈值自适应单指标多节点异常检测框架</w:t>
      </w:r>
    </w:p>
    <w:p>
      <w:pPr>
        <w:jc w:val="center"/>
      </w:pPr>
      <w:r>
        <w:rPr>
          <w:rFonts w:ascii="楷体" w:hAnsi="楷体" w:eastAsia="楷体"/>
          <w:b w:val="0"/>
          <w:i w:val="0"/>
          <w:sz w:val="24"/>
        </w:rPr>
        <w:t>杨婧雯</w:t>
      </w:r>
      <w:r>
        <w:rPr>
          <w:rFonts w:ascii="Times New Roman" w:hAnsi="Times New Roman"/>
          <w:b w:val="0"/>
          <w:i w:val="0"/>
          <w:sz w:val="16"/>
        </w:rPr>
        <w:t>1</w:t>
      </w:r>
      <w:r>
        <w:rPr>
          <w:rFonts w:ascii="楷体" w:hAnsi="楷体" w:eastAsia="楷体"/>
          <w:b w:val="0"/>
          <w:i w:val="0"/>
          <w:sz w:val="24"/>
        </w:rPr>
        <w:t>，裴昌华</w:t>
      </w:r>
      <w:r>
        <w:rPr>
          <w:rFonts w:ascii="Times New Roman" w:hAnsi="Times New Roman"/>
          <w:b w:val="0"/>
          <w:i w:val="0"/>
          <w:sz w:val="16"/>
        </w:rPr>
        <w:t>1*</w:t>
      </w:r>
    </w:p>
    <w:p>
      <w:pPr>
        <w:jc w:val="center"/>
      </w:pPr>
      <w:r>
        <w:rPr>
          <w:rFonts w:ascii="Times New Roman" w:hAnsi="Times New Roman" w:eastAsia="宋体"/>
          <w:b w:val="0"/>
          <w:i w:val="0"/>
          <w:sz w:val="18"/>
        </w:rPr>
        <w:t>1. 中国科学院计算机网络信息中心，北京 100190</w:t>
      </w:r>
    </w:p>
    <w:p/>
    <w:p>
      <w:r>
        <w:rPr>
          <w:rFonts w:ascii="黑体" w:hAnsi="黑体" w:eastAsia="黑体"/>
          <w:b/>
          <w:i w:val="0"/>
          <w:sz w:val="21"/>
        </w:rPr>
        <w:t>摘  要：</w:t>
      </w:r>
      <w:r>
        <w:rPr>
          <w:rFonts w:ascii="Times New Roman" w:hAnsi="Times New Roman" w:eastAsia="宋体"/>
          <w:b/>
          <w:i w:val="0"/>
          <w:sz w:val="21"/>
        </w:rPr>
        <w:t>【目的】</w:t>
      </w:r>
      <w:r>
        <w:rPr>
          <w:rFonts w:ascii="Times New Roman" w:hAnsi="Times New Roman" w:eastAsia="宋体"/>
          <w:b w:val="0"/>
          <w:i w:val="0"/>
          <w:sz w:val="21"/>
        </w:rPr>
        <w:t>分布式集群中负载均衡类监控指标的正常波动具有随机性和不可预测性，传统基于历史模式学习的异常检测方法难以适用。同时，基于节点曲线相似性的检测方法对阈值参数高度敏感，难以在生产环境中直接部署。本文旨在提出一种无需人工阈值调优的端到端自适应异常检测框架。</w:t>
      </w:r>
      <w:r>
        <w:rPr>
          <w:rFonts w:ascii="Times New Roman" w:hAnsi="Times New Roman" w:eastAsia="宋体"/>
          <w:b/>
          <w:i w:val="0"/>
          <w:sz w:val="21"/>
        </w:rPr>
        <w:t>【方法】</w:t>
      </w:r>
      <w:r>
        <w:rPr>
          <w:rFonts w:ascii="Times New Roman" w:hAnsi="Times New Roman" w:eastAsia="宋体"/>
          <w:b w:val="0"/>
          <w:i w:val="0"/>
          <w:sz w:val="21"/>
        </w:rPr>
        <w:t>本文提出CSAD-AT（Curve Similarity-based Anomaly Detection with Adaptive Threshold）框架，融合欧氏距离、自编码器嵌入和局部密度偏离三种互补的曲线相似性评分方法，通过MinMax归一化与加权聚合统一多视角分数，并提出I-SPOT自适应阈值算法，采用包容性数据池更新与周期性GPD重估机制动态确定异常判定边界。</w:t>
      </w:r>
      <w:r>
        <w:rPr>
          <w:rFonts w:ascii="Times New Roman" w:hAnsi="Times New Roman" w:eastAsia="宋体"/>
          <w:b/>
          <w:i w:val="0"/>
          <w:sz w:val="21"/>
        </w:rPr>
        <w:t>【结果】</w:t>
      </w:r>
      <w:r>
        <w:rPr>
          <w:rFonts w:ascii="Times New Roman" w:hAnsi="Times New Roman" w:eastAsia="宋体"/>
          <w:b w:val="0"/>
          <w:i w:val="0"/>
          <w:sz w:val="21"/>
        </w:rPr>
        <w:t>在基于中国联通大数据生产环境构建的单指标多节点数据集上，CSAD-AT在无需人工阈值调整的条件下取得了0.9864的F1分数，优于三种曲线相似性方法在最优人工调参下的表现，且显著优于六种主流多元时序异常检测基线算法。</w:t>
      </w:r>
      <w:r>
        <w:rPr>
          <w:rFonts w:ascii="Times New Roman" w:hAnsi="Times New Roman" w:eastAsia="宋体"/>
          <w:b/>
          <w:i w:val="0"/>
          <w:sz w:val="21"/>
        </w:rPr>
        <w:t>【局限】</w:t>
      </w:r>
      <w:r>
        <w:rPr>
          <w:rFonts w:ascii="Times New Roman" w:hAnsi="Times New Roman" w:eastAsia="宋体"/>
          <w:b w:val="0"/>
          <w:i w:val="0"/>
          <w:sz w:val="21"/>
        </w:rPr>
        <w:t>当前实验仅在单一监控指标（RPC连接数）上验证，尚未扩展至多指标联合检测场景。</w:t>
      </w:r>
      <w:r>
        <w:rPr>
          <w:rFonts w:ascii="Times New Roman" w:hAnsi="Times New Roman" w:eastAsia="宋体"/>
          <w:b/>
          <w:i w:val="0"/>
          <w:sz w:val="21"/>
        </w:rPr>
        <w:t>【结论】</w:t>
      </w:r>
      <w:r>
        <w:rPr>
          <w:rFonts w:ascii="Times New Roman" w:hAnsi="Times New Roman" w:eastAsia="宋体"/>
          <w:b w:val="0"/>
          <w:i w:val="0"/>
          <w:sz w:val="21"/>
        </w:rPr>
        <w:t>基于节点曲线相似性的检测思路能够有效应对负载均衡类指标的随机波动挑战，I-SPOT自适应阈值算法成功消除了人工调参依赖，CSAD-AT框架具有良好的实际部署价值。</w:t>
      </w:r>
    </w:p>
    <w:p>
      <w:r>
        <w:rPr>
          <w:rFonts w:ascii="黑体" w:hAnsi="黑体" w:eastAsia="黑体"/>
          <w:b/>
          <w:i w:val="0"/>
          <w:sz w:val="21"/>
        </w:rPr>
        <w:t>关键词：</w:t>
      </w:r>
      <w:r>
        <w:rPr>
          <w:rFonts w:ascii="Times New Roman" w:hAnsi="Times New Roman" w:eastAsia="宋体"/>
          <w:b w:val="0"/>
          <w:i w:val="0"/>
          <w:sz w:val="21"/>
        </w:rPr>
        <w:t>异常检测；分布式集群；曲线相似性；自适应阈值；极值理论</w:t>
      </w:r>
    </w:p>
    <w:p/>
    <w:p>
      <w:pPr>
        <w:jc w:val="center"/>
      </w:pPr>
      <w:r>
        <w:rPr>
          <w:rFonts w:ascii="Times New Roman" w:hAnsi="Times New Roman"/>
          <w:b/>
          <w:i w:val="0"/>
          <w:sz w:val="28"/>
        </w:rPr>
        <w:t>CSAD-AT: A Threshold-Adaptive Single-Metric Multi-Node Anomaly Detection Framework for Distributed Clusters</w:t>
      </w:r>
    </w:p>
    <w:p>
      <w:pPr>
        <w:jc w:val="center"/>
      </w:pPr>
      <w:r>
        <w:rPr>
          <w:rFonts w:ascii="Times New Roman" w:hAnsi="Times New Roman"/>
          <w:b w:val="0"/>
          <w:i w:val="0"/>
          <w:sz w:val="22"/>
        </w:rPr>
        <w:t>YANG Jingwen</w:t>
      </w:r>
      <w:r>
        <w:rPr>
          <w:rFonts w:ascii="Times New Roman" w:hAnsi="Times New Roman"/>
          <w:b w:val="0"/>
          <w:i w:val="0"/>
          <w:sz w:val="16"/>
        </w:rPr>
        <w:t>1</w:t>
      </w:r>
      <w:r>
        <w:rPr>
          <w:rFonts w:ascii="Times New Roman" w:hAnsi="Times New Roman"/>
          <w:b w:val="0"/>
          <w:i w:val="0"/>
          <w:sz w:val="22"/>
        </w:rPr>
        <w:t>, PEI Changhua</w:t>
      </w:r>
      <w:r>
        <w:rPr>
          <w:rFonts w:ascii="Times New Roman" w:hAnsi="Times New Roman"/>
          <w:b w:val="0"/>
          <w:i w:val="0"/>
          <w:sz w:val="16"/>
        </w:rPr>
        <w:t>1*</w:t>
      </w:r>
    </w:p>
    <w:p>
      <w:pPr>
        <w:jc w:val="center"/>
      </w:pPr>
      <w:r>
        <w:rPr>
          <w:rFonts w:ascii="Times New Roman" w:hAnsi="Times New Roman"/>
          <w:b w:val="0"/>
          <w:i w:val="0"/>
          <w:sz w:val="18"/>
        </w:rPr>
        <w:t>1. Computer Network Information Center, Chinese Academy of Sciences, Beijing 100190, China</w:t>
      </w:r>
    </w:p>
    <w:p/>
    <w:p>
      <w:r>
        <w:rPr>
          <w:rFonts w:ascii="Times New Roman" w:hAnsi="Times New Roman"/>
          <w:b/>
          <w:i w:val="0"/>
          <w:sz w:val="21"/>
        </w:rPr>
        <w:t xml:space="preserve">Abstract: </w:t>
      </w:r>
      <w:r>
        <w:rPr>
          <w:rFonts w:ascii="Times New Roman" w:hAnsi="Times New Roman"/>
          <w:b/>
          <w:i w:val="0"/>
          <w:sz w:val="21"/>
        </w:rPr>
        <w:t xml:space="preserve">[Objective] </w:t>
      </w:r>
      <w:r>
        <w:rPr>
          <w:rFonts w:ascii="Times New Roman" w:hAnsi="Times New Roman"/>
          <w:b w:val="0"/>
          <w:i w:val="0"/>
          <w:sz w:val="21"/>
        </w:rPr>
        <w:t xml:space="preserve">Load-balanced monitoring metrics in distributed clusters exhibit random and unpredictable normal fluctuations, making traditional history-based anomaly detection methods ineffective. While curve similarity-based methods show promise, their high sensitivity to threshold parameters hinders practical deployment. This paper proposes an end-to-end adaptive anomaly detection framework that eliminates manual threshold tuning. </w:t>
      </w:r>
      <w:r>
        <w:rPr>
          <w:rFonts w:ascii="Times New Roman" w:hAnsi="Times New Roman"/>
          <w:b/>
          <w:i w:val="0"/>
          <w:sz w:val="21"/>
        </w:rPr>
        <w:t xml:space="preserve">[Methods] </w:t>
      </w:r>
      <w:r>
        <w:rPr>
          <w:rFonts w:ascii="Times New Roman" w:hAnsi="Times New Roman"/>
          <w:b w:val="0"/>
          <w:i w:val="0"/>
          <w:sz w:val="21"/>
        </w:rPr>
        <w:t xml:space="preserve">We propose CSAD-AT (Curve Similarity-based Anomaly Detection with Adaptive Threshold), which integrates three complementary scoring methods based on Euclidean distance, autoencoder embedding, and local density deviation. Scores are unified through MinMax normalization and weighted aggregation. An improved I-SPOT adaptive threshold algorithm with inclusive data pool updates and periodic GPD re-estimation dynamically determines anomaly boundaries. </w:t>
      </w:r>
      <w:r>
        <w:rPr>
          <w:rFonts w:ascii="Times New Roman" w:hAnsi="Times New Roman"/>
          <w:b/>
          <w:i w:val="0"/>
          <w:sz w:val="21"/>
        </w:rPr>
        <w:t xml:space="preserve">[Results] </w:t>
      </w:r>
      <w:r>
        <w:rPr>
          <w:rFonts w:ascii="Times New Roman" w:hAnsi="Times New Roman"/>
          <w:b w:val="0"/>
          <w:i w:val="0"/>
          <w:sz w:val="21"/>
        </w:rPr>
        <w:t xml:space="preserve">On a single-metric multi-node dataset from China Unicom production environments, CSAD-AT achieves an F1 score of 0.9864 without manual threshold tuning, outperforming all three similarity methods under optimal manual tuning and significantly surpassing six state-of-the-art baselines. </w:t>
      </w:r>
      <w:r>
        <w:rPr>
          <w:rFonts w:ascii="Times New Roman" w:hAnsi="Times New Roman"/>
          <w:b/>
          <w:i w:val="0"/>
          <w:sz w:val="21"/>
        </w:rPr>
        <w:t xml:space="preserve">[Limitations] </w:t>
      </w:r>
      <w:r>
        <w:rPr>
          <w:rFonts w:ascii="Times New Roman" w:hAnsi="Times New Roman"/>
          <w:b w:val="0"/>
          <w:i w:val="0"/>
          <w:sz w:val="21"/>
        </w:rPr>
        <w:t xml:space="preserve">Experiments are currently limited to a single monitoring metric (RPC connection count). </w:t>
      </w:r>
      <w:r>
        <w:rPr>
          <w:rFonts w:ascii="Times New Roman" w:hAnsi="Times New Roman"/>
          <w:b/>
          <w:i w:val="0"/>
          <w:sz w:val="21"/>
        </w:rPr>
        <w:t xml:space="preserve">[Conclusions] </w:t>
      </w:r>
      <w:r>
        <w:rPr>
          <w:rFonts w:ascii="Times New Roman" w:hAnsi="Times New Roman"/>
          <w:b w:val="0"/>
          <w:i w:val="0"/>
          <w:sz w:val="21"/>
        </w:rPr>
        <w:t>Curve similarity-based detection effectively addresses the challenge of random fluctuations in load-balanced metrics. The I-SPOT algorithm successfully eliminates manual parameter tuning dependency.</w:t>
      </w:r>
    </w:p>
    <w:p>
      <w:r>
        <w:rPr>
          <w:rFonts w:ascii="Times New Roman" w:hAnsi="Times New Roman"/>
          <w:b/>
          <w:i w:val="0"/>
          <w:sz w:val="21"/>
        </w:rPr>
        <w:t xml:space="preserve">Keywords: </w:t>
      </w:r>
      <w:r>
        <w:rPr>
          <w:rFonts w:ascii="Times New Roman" w:hAnsi="Times New Roman"/>
          <w:b w:val="0"/>
          <w:i w:val="0"/>
          <w:sz w:val="21"/>
        </w:rPr>
        <w:t>anomaly detection; distributed cluster; curve similarity; adaptive threshold; extreme value theory</w:t>
      </w:r>
    </w:p>
    <w:p/>
    <w:p>
      <w:pPr>
        <w:spacing w:before="120" w:after="60"/>
      </w:pPr>
      <w:r>
        <w:rPr>
          <w:rFonts w:ascii="黑体" w:hAnsi="黑体" w:eastAsia="黑体"/>
          <w:b/>
          <w:i w:val="0"/>
          <w:sz w:val="28"/>
        </w:rPr>
        <w:t>引言</w:t>
      </w:r>
    </w:p>
    <w:p>
      <w:pPr>
        <w:ind w:firstLine="420"/>
      </w:pPr>
      <w:r>
        <w:rPr>
          <w:rFonts w:ascii="Times New Roman" w:hAnsi="Times New Roman" w:eastAsia="宋体"/>
          <w:b w:val="0"/>
          <w:i w:val="0"/>
          <w:sz w:val="21"/>
        </w:rPr>
        <w:t>随着云计算和大数据技术的快速发展，分布式集群已成为支撑大规模数据处理与计算服务的核心基础设施。在企业级生产环境中，分布式集群通常由数十至数百个计算节点组成，通过YARN（Yet Another Resource Negotiator）等资源调度框架实现计算资源的统一管理与动态分配。集群中各节点的运行状态由Prometheus等监控系统持续采集，形成海量的多节点时间序列监控数据。及时准确地从这些监控数据中检测出异常节点，对于保障服务质量、降低运维成本具有重要意义。</w:t>
      </w:r>
    </w:p>
    <w:p>
      <w:pPr>
        <w:ind w:firstLine="420"/>
      </w:pPr>
      <w:r>
        <w:rPr>
          <w:rFonts w:ascii="Times New Roman" w:hAnsi="Times New Roman" w:eastAsia="宋体"/>
          <w:b w:val="0"/>
          <w:i w:val="0"/>
          <w:sz w:val="21"/>
        </w:rPr>
        <w:t>然而，分布式集群环境中的异常检测面临独特的技术挑战。以RPC连接数等与用户负载强相关的监控指标为例，其正常波动具有随机性和不可预测性，难以通过先验知识定义统一的正常模式。传统的单节点历史模式学习方法（如基于重构的自编码器、基于预测的Transformer等）在面对此类指标时，往往因无法建立稳定的正常基线而导致高误报率或高漏报率。</w:t>
      </w:r>
    </w:p>
    <w:p>
      <w:pPr>
        <w:ind w:firstLine="420"/>
      </w:pPr>
      <w:r>
        <w:rPr>
          <w:rFonts w:ascii="Times New Roman" w:hAnsi="Times New Roman" w:eastAsia="宋体"/>
          <w:b w:val="0"/>
          <w:i w:val="0"/>
          <w:sz w:val="21"/>
        </w:rPr>
        <w:t>值得注意的是，在负载均衡机制的作用下，分布式集群中正常运行的各节点承担相近的工作负载，其同一监控指标的时序曲线呈现出高度的形态相似性。当个别节点发生故障时，其曲线会显著偏离群体模式，形成可识别的“离群曲线”。这一“正常聚集、异常离群”的数据特性为异常检测提供了新思路：通过度量节点间曲线的差异程度来识别偏离群体行为的异常节点。</w:t>
      </w:r>
    </w:p>
    <w:p>
      <w:pPr>
        <w:ind w:firstLine="420"/>
      </w:pPr>
      <w:r>
        <w:rPr>
          <w:rFonts w:ascii="Times New Roman" w:hAnsi="Times New Roman" w:eastAsia="宋体"/>
          <w:b w:val="0"/>
          <w:i w:val="0"/>
          <w:sz w:val="21"/>
        </w:rPr>
        <w:t>基于曲线相似性的方法虽然在理论上具有优势，但在实际部署中面临一个核心难题：检测阈值的选择。实验表明，此类方法的最优参数处于极窄的有效区间内，细微的阈值偏移便可导致性能骤变，呈现显著的“悬崖效应”。由于不同集群的节点数量、负载模式、指标量纲等因素各异，在一个集群上调优的参数难以直接迁移，而获取高质量标注数据用于参数调优的成本又极为高昂。因此，如何实现阈值的动态自适应调整，成为将基于曲线相似性的方法推向实际应用的关键技术瓶颈。</w:t>
      </w:r>
    </w:p>
    <w:p>
      <w:pPr>
        <w:ind w:firstLine="420"/>
      </w:pPr>
      <w:r>
        <w:rPr>
          <w:rFonts w:ascii="Times New Roman" w:hAnsi="Times New Roman" w:eastAsia="宋体"/>
          <w:b w:val="0"/>
          <w:i w:val="0"/>
          <w:sz w:val="21"/>
        </w:rPr>
        <w:t>针对上述挑战，本文提出CSAD-AT（Curve Similarity-based Anomaly Detection with Adaptive Threshold）框架。该框架融合欧氏距离、自编码器嵌入和局部密度偏离三种互补的曲线相似性评分方法，通过MinMax归一化与加权聚合实现多视角分数融合，并提出I-SPOT（Inclusive SPOT）自适应阈值算法，基于极值理论动态确定异常判定边界，实现端到端的无人工调参异常检测。在基于联通大数据生产环境构建的数据集上，CSAD-AT取得了0.9864的F1分数，显著优于现有基线方法。</w:t>
      </w:r>
    </w:p>
    <w:p>
      <w:pPr>
        <w:pStyle w:val="Heading1"/>
        <w:spacing w:before="240" w:after="120"/>
      </w:pPr>
      <w:r>
        <w:rPr>
          <w:b/>
          <w:sz w:val="28"/>
        </w:rPr>
        <w:t>1 相关工作</w:t>
      </w:r>
    </w:p>
    <w:p>
      <w:pPr>
        <w:spacing w:line="300" w:lineRule="auto"/>
        <w:ind w:firstLine="420"/>
      </w:pPr>
      <w:r>
        <w:rPr>
          <w:sz w:val="21"/>
        </w:rPr>
        <w:t>时间序列异常检测是智能运维（AIOps）领域的核心任务之一。现有方法主要包括基于统计的方法、基于机器学习的方法和基于深度学习的方法三大类。</w:t>
      </w:r>
    </w:p>
    <w:p>
      <w:pPr>
        <w:spacing w:line="300" w:lineRule="auto"/>
        <w:ind w:firstLine="420"/>
      </w:pPr>
      <w:r>
        <w:rPr>
          <w:sz w:val="21"/>
        </w:rPr>
        <w:t>在基于深度学习的方法中，OmniAnomaly[1]采用随机变分自编码器学习多元时间序列的正常分布，通过重构概率识别异常。USAD[2]在自编码器基础上引入对抗训练增强鲁棒性。TranAD[3]基于Transformer架构并结合对抗训练提升异常敏感度。GDN[4]通过图神经网络建模变量间拓扑关系。MTAD-GAT[5]结合图注意力网络和时间卷积网络同时建模变量间关联和时间依赖。MAD-GAN[6]采用LSTM构建生成对抗网络学习正常数据分布。</w:t>
      </w:r>
    </w:p>
    <w:p>
      <w:pPr>
        <w:spacing w:line="300" w:lineRule="auto"/>
        <w:ind w:firstLine="420"/>
      </w:pPr>
      <w:r>
        <w:rPr>
          <w:sz w:val="21"/>
        </w:rPr>
        <w:t>上述方法主要面向多变量间的关联异常设计，对分布式集群中单指标多节点的场景缺乏针对性。在自适应阈值方面，SPOT算法[7]基于极值理论对流数据进行动态阈值检测，但其排他性更新策略在概念漂移条件下存在阈值衰减问题。本文提出的CSAD-AT框架融合多视角曲线相似性评分与改进的I-SPOT自适应阈值算法，实现端到端的无人工调参异常检测。</w:t>
      </w:r>
    </w:p>
    <w:p>
      <w:pPr>
        <w:pStyle w:val="Heading1"/>
        <w:spacing w:before="240" w:after="120"/>
      </w:pPr>
      <w:r>
        <w:rPr>
          <w:b/>
          <w:sz w:val="28"/>
        </w:rPr>
        <w:t>2 数据集构建</w:t>
      </w:r>
    </w:p>
    <w:p>
      <w:pPr>
        <w:spacing w:before="200" w:after="80"/>
      </w:pPr>
      <w:r>
        <w:rPr>
          <w:b/>
          <w:sz w:val="24"/>
        </w:rPr>
        <w:t>2.1 数据来源与采集</w:t>
      </w:r>
    </w:p>
    <w:p>
      <w:pPr>
        <w:spacing w:line="300" w:lineRule="auto"/>
        <w:ind w:firstLine="420"/>
      </w:pPr>
      <w:r>
        <w:rPr>
          <w:sz w:val="21"/>
        </w:rPr>
        <w:t>本研究的数据来源于中国联通大数据生产底座平台。该平台采用YARN（Yet Another Resource Negotiator）架构进行分布式计算资源的统一调度与管理，其核心架构如图1所示。ResourceManager作为集群的中央调度器，通过RPC Router接收各NodeManager的心跳与资源请求；各NodeManager负责本地容器的生命周期管理，通过RPC Client与ResourceManager保持通信；Prometheus监控系统实时采集各节点的运行指标。</w:t>
      </w:r>
    </w:p>
    <w:p>
      <w:pPr>
        <w:jc w:val="center"/>
      </w:pPr>
      <w:r>
        <w:drawing>
          <wp:inline xmlns:a="http://schemas.openxmlformats.org/drawingml/2006/main" xmlns:pic="http://schemas.openxmlformats.org/drawingml/2006/picture" xmlns:asvg="http://schemas.microsoft.com/office/drawing/2016/SVG/main">
            <wp:extent cx="4572000" cy="2699657"/>
            <wp:docPr id="100001" name="Picture 100001"/>
            <wp:cNvGraphicFramePr>
              <a:graphicFrameLocks noChangeAspect="1"/>
            </wp:cNvGraphicFramePr>
            <a:graphic>
              <a:graphicData uri="http://schemas.openxmlformats.org/drawingml/2006/picture">
                <pic:pic>
                  <pic:nvPicPr>
                    <pic:cNvPr id="0" name="yarn_arch.png"/>
                    <pic:cNvPicPr/>
                  </pic:nvPicPr>
                  <pic:blipFill>
                    <a:blip r:embed="rId7"/>
                    <a:stretch>
                      <a:fillRect/>
                    </a:stretch>
                  </pic:blipFill>
                  <pic:spPr>
                    <a:xfrm>
                      <a:off x="0" y="0"/>
                      <a:ext cx="4572000" cy="2699657"/>
                    </a:xfrm>
                    <a:prstGeom prst="rect"/>
                  </pic:spPr>
                </pic:pic>
              </a:graphicData>
            </a:graphic>
          </wp:inline>
        </w:drawing>
      </w:r>
    </w:p>
    <w:p>
      <w:pPr>
        <w:spacing w:before="80" w:after="0"/>
        <w:jc w:val="center"/>
      </w:pPr>
      <w:r>
        <w:rPr>
          <w:b/>
          <w:sz w:val="18"/>
        </w:rPr>
        <w:t>图1 YARN分布式集群架构与RPC Router连接数指标示意</w:t>
      </w:r>
    </w:p>
    <w:p>
      <w:pPr>
        <w:spacing w:before="0" w:after="160"/>
        <w:jc w:val="center"/>
      </w:pPr>
      <w:r>
        <w:rPr>
          <w:sz w:val="18"/>
        </w:rPr>
        <w:t>Fig.1 YARN cluster architecture and RPC Router connection count</w:t>
      </w:r>
    </w:p>
    <w:p>
      <w:pPr>
        <w:spacing w:line="300" w:lineRule="auto"/>
        <w:ind w:firstLine="420"/>
      </w:pPr>
      <w:r>
        <w:rPr>
          <w:sz w:val="21"/>
        </w:rPr>
        <w:t>在长期运维实践中发现，与用户负载强相关的监控指标（如RPC连接数）呈现出独特的统计特性：正常波动模式难以通过先验知识统一定义，且随全局负载呈现不可预测的剧烈变化。然而，得益于负载均衡机制的作用，正常运行状态下各节点同一指标的时序曲线呈现出高度的形态相似性。本研究选取RPC Router连接数作为核心研究指标，通过Prometheus API接口采集了多个生产集群在连续运行周期内所有节点的该指标时序数据，形成训练集（覆盖30天连续运行数据）和测试集（覆盖8天连续运行数据），原始数据采样间隔为60秒。</w:t>
      </w:r>
    </w:p>
    <w:p>
      <w:pPr>
        <w:spacing w:before="200" w:after="80"/>
      </w:pPr>
      <w:r>
        <w:rPr>
          <w:b/>
          <w:sz w:val="24"/>
        </w:rPr>
        <w:t>2.2 数据集预处理与标注</w:t>
      </w:r>
    </w:p>
    <w:p>
      <w:pPr>
        <w:spacing w:line="300" w:lineRule="auto"/>
        <w:ind w:firstLine="420"/>
      </w:pPr>
      <w:r>
        <w:rPr>
          <w:sz w:val="21"/>
        </w:rPr>
        <w:t>为构建适用于算法研究的高质量数据集，本研究对原始监控时序数据实施了系统化的预处理与半人工标注流程，整体流程如图2所示。预处理阶段执行三项操作：（1）线性插值填充短暂缺失值；（2）将所有节点数据对齐至统一的60秒间隔时间戳；（3）剔除长时间段数据完全缺失的节点记录。</w:t>
      </w:r>
    </w:p>
    <w:p>
      <w:pPr>
        <w:jc w:val="center"/>
      </w:pPr>
      <w:r>
        <w:drawing>
          <wp:inline xmlns:a="http://schemas.openxmlformats.org/drawingml/2006/main" xmlns:pic="http://schemas.openxmlformats.org/drawingml/2006/picture" xmlns:asvg="http://schemas.microsoft.com/office/drawing/2016/SVG/main">
            <wp:extent cx="5029200" cy="1811190"/>
            <wp:docPr id="100002" name="Picture 100002"/>
            <wp:cNvGraphicFramePr>
              <a:graphicFrameLocks noChangeAspect="1"/>
            </wp:cNvGraphicFramePr>
            <a:graphic>
              <a:graphicData uri="http://schemas.openxmlformats.org/drawingml/2006/picture">
                <pic:pic>
                  <pic:nvPicPr>
                    <pic:cNvPr id="0" name="annotation_flow_new.png"/>
                    <pic:cNvPicPr/>
                  </pic:nvPicPr>
                  <pic:blipFill>
                    <a:blip r:embed="rId8"/>
                    <a:stretch>
                      <a:fillRect/>
                    </a:stretch>
                  </pic:blipFill>
                  <pic:spPr>
                    <a:xfrm>
                      <a:off x="0" y="0"/>
                      <a:ext cx="5029200" cy="1811190"/>
                    </a:xfrm>
                    <a:prstGeom prst="rect"/>
                  </pic:spPr>
                </pic:pic>
              </a:graphicData>
            </a:graphic>
          </wp:inline>
        </w:drawing>
      </w:r>
    </w:p>
    <w:p>
      <w:pPr>
        <w:spacing w:before="80" w:after="0"/>
        <w:jc w:val="center"/>
      </w:pPr>
      <w:r>
        <w:rPr>
          <w:b/>
          <w:sz w:val="18"/>
        </w:rPr>
        <w:t>图2 数据集预处理与半人工标注流程</w:t>
      </w:r>
    </w:p>
    <w:p>
      <w:pPr>
        <w:spacing w:before="0" w:after="160"/>
        <w:jc w:val="center"/>
      </w:pPr>
      <w:r>
        <w:rPr>
          <w:sz w:val="18"/>
        </w:rPr>
        <w:t>Fig.2 Dataset preprocessing and semi-manual annotation workflow</w:t>
      </w:r>
    </w:p>
    <w:p>
      <w:pPr>
        <w:spacing w:line="300" w:lineRule="auto"/>
        <w:ind w:firstLine="420"/>
      </w:pPr>
      <w:r>
        <w:rPr>
          <w:sz w:val="21"/>
        </w:rPr>
        <w:t>在异常标注阶段，采用多算法初筛与专家判读相结合的半人工标注策略。首先利用多种无监督离群点检测算法以宽松阈值筛选疑似异常片段；然后关联查询对应节点的运维日志、工单记录等多源数据进行交叉验证；最终由具备丰富运维经验的专家结合可视化工具做出异常判定。</w:t>
      </w:r>
    </w:p>
    <w:p>
      <w:pPr>
        <w:spacing w:before="200" w:after="80"/>
      </w:pPr>
      <w:r>
        <w:rPr>
          <w:b/>
          <w:sz w:val="24"/>
        </w:rPr>
        <w:t>2.3 数据集统计与可视化</w:t>
      </w:r>
    </w:p>
    <w:p>
      <w:pPr>
        <w:spacing w:line="300" w:lineRule="auto"/>
        <w:ind w:firstLine="420"/>
      </w:pPr>
      <w:r>
        <w:rPr>
          <w:sz w:val="21"/>
        </w:rPr>
        <w:t>经过预处理与标注，构建了适用于分布式集群节点级异常检测的单指标多节点时间序列数据集，详细统计信息如表1所示。</w:t>
      </w:r>
    </w:p>
    <w:p>
      <w:pPr>
        <w:spacing w:before="160" w:after="0"/>
        <w:jc w:val="center"/>
      </w:pPr>
      <w:r>
        <w:rPr>
          <w:b/>
          <w:sz w:val="18"/>
        </w:rPr>
        <w:t>表1 数据集统计数据</w:t>
      </w:r>
    </w:p>
    <w:p>
      <w:pPr>
        <w:spacing w:before="0" w:after="80"/>
        <w:jc w:val="center"/>
      </w:pPr>
      <w:r>
        <w:rPr>
          <w:sz w:val="18"/>
        </w:rPr>
        <w:t>Table 1 Dataset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5"/>
        <w:gridCol w:w="1385"/>
        <w:gridCol w:w="1385"/>
        <w:gridCol w:w="1385"/>
        <w:gridCol w:w="1385"/>
        <w:gridCol w:w="1385"/>
      </w:tblGrid>
      <w:tr>
        <w:tc>
          <w:tcPr>
            <w:tcW w:type="dxa" w:w="1385"/>
          </w:tcPr>
          <w:p>
            <w:pPr>
              <w:jc w:val="center"/>
            </w:pPr>
            <w:r/>
            <w:r>
              <w:rPr>
                <w:b/>
                <w:sz w:val="18"/>
              </w:rPr>
            </w:r>
          </w:p>
        </w:tc>
        <w:tc>
          <w:tcPr>
            <w:tcW w:type="dxa" w:w="1385"/>
          </w:tcPr>
          <w:p>
            <w:pPr>
              <w:jc w:val="center"/>
            </w:pPr>
            <w:r/>
            <w:r>
              <w:rPr>
                <w:b/>
                <w:sz w:val="18"/>
              </w:rPr>
              <w:t>节点数</w:t>
            </w:r>
          </w:p>
        </w:tc>
        <w:tc>
          <w:tcPr>
            <w:tcW w:type="dxa" w:w="1385"/>
          </w:tcPr>
          <w:p>
            <w:pPr>
              <w:jc w:val="center"/>
            </w:pPr>
            <w:r/>
            <w:r>
              <w:rPr>
                <w:b/>
                <w:sz w:val="18"/>
              </w:rPr>
              <w:t>数据点数量</w:t>
            </w:r>
          </w:p>
        </w:tc>
        <w:tc>
          <w:tcPr>
            <w:tcW w:type="dxa" w:w="1385"/>
          </w:tcPr>
          <w:p>
            <w:pPr>
              <w:jc w:val="center"/>
            </w:pPr>
            <w:r/>
            <w:r>
              <w:rPr>
                <w:b/>
                <w:sz w:val="18"/>
              </w:rPr>
              <w:t>异常片段数</w:t>
            </w:r>
          </w:p>
        </w:tc>
        <w:tc>
          <w:tcPr>
            <w:tcW w:type="dxa" w:w="1385"/>
          </w:tcPr>
          <w:p>
            <w:pPr>
              <w:jc w:val="center"/>
            </w:pPr>
            <w:r/>
            <w:r>
              <w:rPr>
                <w:b/>
                <w:sz w:val="18"/>
              </w:rPr>
              <w:t>异常点数量</w:t>
            </w:r>
          </w:p>
        </w:tc>
        <w:tc>
          <w:tcPr>
            <w:tcW w:type="dxa" w:w="1385"/>
          </w:tcPr>
          <w:p>
            <w:pPr>
              <w:jc w:val="center"/>
            </w:pPr>
            <w:r/>
            <w:r>
              <w:rPr>
                <w:b/>
                <w:sz w:val="18"/>
              </w:rPr>
              <w:t>异常比例</w:t>
            </w:r>
          </w:p>
        </w:tc>
      </w:tr>
      <w:tr>
        <w:tc>
          <w:tcPr>
            <w:tcW w:type="dxa" w:w="1385"/>
          </w:tcPr>
          <w:p>
            <w:pPr>
              <w:jc w:val="center"/>
            </w:pPr>
            <w:r/>
            <w:r>
              <w:rPr>
                <w:sz w:val="18"/>
              </w:rPr>
              <w:t>训练集</w:t>
            </w:r>
          </w:p>
        </w:tc>
        <w:tc>
          <w:tcPr>
            <w:tcW w:type="dxa" w:w="1385"/>
          </w:tcPr>
          <w:p>
            <w:pPr>
              <w:jc w:val="center"/>
            </w:pPr>
            <w:r/>
            <w:r>
              <w:rPr>
                <w:sz w:val="18"/>
              </w:rPr>
              <w:t>30</w:t>
            </w:r>
          </w:p>
        </w:tc>
        <w:tc>
          <w:tcPr>
            <w:tcW w:type="dxa" w:w="1385"/>
          </w:tcPr>
          <w:p>
            <w:pPr>
              <w:jc w:val="center"/>
            </w:pPr>
            <w:r/>
            <w:r>
              <w:rPr>
                <w:sz w:val="18"/>
              </w:rPr>
              <w:t>86400</w:t>
            </w:r>
          </w:p>
        </w:tc>
        <w:tc>
          <w:tcPr>
            <w:tcW w:type="dxa" w:w="1385"/>
          </w:tcPr>
          <w:p>
            <w:pPr>
              <w:jc w:val="center"/>
            </w:pPr>
            <w:r/>
            <w:r>
              <w:rPr>
                <w:sz w:val="18"/>
              </w:rPr>
              <w:t>/</w:t>
            </w:r>
          </w:p>
        </w:tc>
        <w:tc>
          <w:tcPr>
            <w:tcW w:type="dxa" w:w="1385"/>
          </w:tcPr>
          <w:p>
            <w:pPr>
              <w:jc w:val="center"/>
            </w:pPr>
            <w:r/>
            <w:r>
              <w:rPr>
                <w:sz w:val="18"/>
              </w:rPr>
              <w:t>/</w:t>
            </w:r>
          </w:p>
        </w:tc>
        <w:tc>
          <w:tcPr>
            <w:tcW w:type="dxa" w:w="1385"/>
          </w:tcPr>
          <w:p>
            <w:pPr>
              <w:jc w:val="center"/>
            </w:pPr>
            <w:r/>
            <w:r>
              <w:rPr>
                <w:sz w:val="18"/>
              </w:rPr>
              <w:t>/</w:t>
            </w:r>
          </w:p>
        </w:tc>
      </w:tr>
      <w:tr>
        <w:tc>
          <w:tcPr>
            <w:tcW w:type="dxa" w:w="1385"/>
          </w:tcPr>
          <w:p>
            <w:pPr>
              <w:jc w:val="center"/>
            </w:pPr>
            <w:r/>
            <w:r>
              <w:rPr>
                <w:sz w:val="18"/>
              </w:rPr>
              <w:t>测试集A</w:t>
            </w:r>
          </w:p>
        </w:tc>
        <w:tc>
          <w:tcPr>
            <w:tcW w:type="dxa" w:w="1385"/>
          </w:tcPr>
          <w:p>
            <w:pPr>
              <w:jc w:val="center"/>
            </w:pPr>
            <w:r/>
            <w:r>
              <w:rPr>
                <w:sz w:val="18"/>
              </w:rPr>
              <w:t>15</w:t>
            </w:r>
          </w:p>
        </w:tc>
        <w:tc>
          <w:tcPr>
            <w:tcW w:type="dxa" w:w="1385"/>
          </w:tcPr>
          <w:p>
            <w:pPr>
              <w:jc w:val="center"/>
            </w:pPr>
            <w:r/>
            <w:r>
              <w:rPr>
                <w:sz w:val="18"/>
              </w:rPr>
              <w:t>11520</w:t>
            </w:r>
          </w:p>
        </w:tc>
        <w:tc>
          <w:tcPr>
            <w:tcW w:type="dxa" w:w="1385"/>
          </w:tcPr>
          <w:p>
            <w:pPr>
              <w:jc w:val="center"/>
            </w:pPr>
            <w:r/>
            <w:r>
              <w:rPr>
                <w:sz w:val="18"/>
              </w:rPr>
              <w:t>72</w:t>
            </w:r>
          </w:p>
        </w:tc>
        <w:tc>
          <w:tcPr>
            <w:tcW w:type="dxa" w:w="1385"/>
          </w:tcPr>
          <w:p>
            <w:pPr>
              <w:jc w:val="center"/>
            </w:pPr>
            <w:r/>
            <w:r>
              <w:rPr>
                <w:sz w:val="18"/>
              </w:rPr>
              <w:t>901</w:t>
            </w:r>
          </w:p>
        </w:tc>
        <w:tc>
          <w:tcPr>
            <w:tcW w:type="dxa" w:w="1385"/>
          </w:tcPr>
          <w:p>
            <w:pPr>
              <w:jc w:val="center"/>
            </w:pPr>
            <w:r/>
            <w:r>
              <w:rPr>
                <w:sz w:val="18"/>
              </w:rPr>
              <w:t>7.82%</w:t>
            </w:r>
          </w:p>
        </w:tc>
      </w:tr>
      <w:tr>
        <w:tc>
          <w:tcPr>
            <w:tcW w:type="dxa" w:w="1385"/>
          </w:tcPr>
          <w:p>
            <w:pPr>
              <w:jc w:val="center"/>
            </w:pPr>
            <w:r/>
            <w:r>
              <w:rPr>
                <w:sz w:val="18"/>
              </w:rPr>
              <w:t>测试集B</w:t>
            </w:r>
          </w:p>
        </w:tc>
        <w:tc>
          <w:tcPr>
            <w:tcW w:type="dxa" w:w="1385"/>
          </w:tcPr>
          <w:p>
            <w:pPr>
              <w:jc w:val="center"/>
            </w:pPr>
            <w:r/>
            <w:r>
              <w:rPr>
                <w:sz w:val="18"/>
              </w:rPr>
              <w:t>15</w:t>
            </w:r>
          </w:p>
        </w:tc>
        <w:tc>
          <w:tcPr>
            <w:tcW w:type="dxa" w:w="1385"/>
          </w:tcPr>
          <w:p>
            <w:pPr>
              <w:jc w:val="center"/>
            </w:pPr>
            <w:r/>
            <w:r>
              <w:rPr>
                <w:sz w:val="18"/>
              </w:rPr>
              <w:t>11520</w:t>
            </w:r>
          </w:p>
        </w:tc>
        <w:tc>
          <w:tcPr>
            <w:tcW w:type="dxa" w:w="1385"/>
          </w:tcPr>
          <w:p>
            <w:pPr>
              <w:jc w:val="center"/>
            </w:pPr>
            <w:r/>
            <w:r>
              <w:rPr>
                <w:sz w:val="18"/>
              </w:rPr>
              <w:t>33</w:t>
            </w:r>
          </w:p>
        </w:tc>
        <w:tc>
          <w:tcPr>
            <w:tcW w:type="dxa" w:w="1385"/>
          </w:tcPr>
          <w:p>
            <w:pPr>
              <w:jc w:val="center"/>
            </w:pPr>
            <w:r/>
            <w:r>
              <w:rPr>
                <w:sz w:val="18"/>
              </w:rPr>
              <w:t>907</w:t>
            </w:r>
          </w:p>
        </w:tc>
        <w:tc>
          <w:tcPr>
            <w:tcW w:type="dxa" w:w="1385"/>
          </w:tcPr>
          <w:p>
            <w:pPr>
              <w:jc w:val="center"/>
            </w:pPr>
            <w:r/>
            <w:r>
              <w:rPr>
                <w:sz w:val="18"/>
              </w:rPr>
              <w:t>7.87%</w:t>
            </w:r>
          </w:p>
        </w:tc>
      </w:tr>
      <w:tr>
        <w:tc>
          <w:tcPr>
            <w:tcW w:type="dxa" w:w="1385"/>
          </w:tcPr>
          <w:p>
            <w:pPr>
              <w:jc w:val="center"/>
            </w:pPr>
            <w:r/>
            <w:r>
              <w:rPr>
                <w:sz w:val="18"/>
              </w:rPr>
              <w:t>测试集</w:t>
            </w:r>
          </w:p>
        </w:tc>
        <w:tc>
          <w:tcPr>
            <w:tcW w:type="dxa" w:w="1385"/>
          </w:tcPr>
          <w:p>
            <w:pPr>
              <w:jc w:val="center"/>
            </w:pPr>
            <w:r/>
            <w:r>
              <w:rPr>
                <w:sz w:val="18"/>
              </w:rPr>
              <w:t>30</w:t>
            </w:r>
          </w:p>
        </w:tc>
        <w:tc>
          <w:tcPr>
            <w:tcW w:type="dxa" w:w="1385"/>
          </w:tcPr>
          <w:p>
            <w:pPr>
              <w:jc w:val="center"/>
            </w:pPr>
            <w:r/>
            <w:r>
              <w:rPr>
                <w:sz w:val="18"/>
              </w:rPr>
              <w:t>23040</w:t>
            </w:r>
          </w:p>
        </w:tc>
        <w:tc>
          <w:tcPr>
            <w:tcW w:type="dxa" w:w="1385"/>
          </w:tcPr>
          <w:p>
            <w:pPr>
              <w:jc w:val="center"/>
            </w:pPr>
            <w:r/>
            <w:r>
              <w:rPr>
                <w:sz w:val="18"/>
              </w:rPr>
              <w:t>105</w:t>
            </w:r>
          </w:p>
        </w:tc>
        <w:tc>
          <w:tcPr>
            <w:tcW w:type="dxa" w:w="1385"/>
          </w:tcPr>
          <w:p>
            <w:pPr>
              <w:jc w:val="center"/>
            </w:pPr>
            <w:r/>
            <w:r>
              <w:rPr>
                <w:sz w:val="18"/>
              </w:rPr>
              <w:t>1808</w:t>
            </w:r>
          </w:p>
        </w:tc>
        <w:tc>
          <w:tcPr>
            <w:tcW w:type="dxa" w:w="1385"/>
          </w:tcPr>
          <w:p>
            <w:pPr>
              <w:jc w:val="center"/>
            </w:pPr>
            <w:r/>
            <w:r>
              <w:rPr>
                <w:sz w:val="18"/>
              </w:rPr>
              <w:t>7.85%</w:t>
            </w:r>
          </w:p>
        </w:tc>
      </w:tr>
    </w:tbl>
    <w:p/>
    <w:p>
      <w:pPr>
        <w:spacing w:line="300" w:lineRule="auto"/>
        <w:ind w:firstLine="420"/>
      </w:pPr>
      <w:r>
        <w:rPr>
          <w:sz w:val="21"/>
        </w:rPr>
        <w:t>该数据集的核心特征在于直观揭示了分布式集群在负载均衡机制下的运行规律，如图3所示。在绝大部分时间内，集群内多数节点的监控指标曲线呈现高度的形态同步性与数值聚集性，形成清晰的"正常行为簇"。当个别节点发生故障时，其曲线显著偏离共同的"行为簇"，表现为"离群曲线"。</w:t>
      </w:r>
    </w:p>
    <w:p>
      <w:pPr>
        <w:jc w:val="center"/>
      </w:pPr>
      <w:r>
        <w:drawing>
          <wp:inline xmlns:a="http://schemas.openxmlformats.org/drawingml/2006/main" xmlns:pic="http://schemas.openxmlformats.org/drawingml/2006/picture" xmlns:asvg="http://schemas.microsoft.com/office/drawing/2016/SVG/main">
            <wp:extent cx="5029200" cy="2077278"/>
            <wp:docPr id="100003" name="Picture 100003"/>
            <wp:cNvGraphicFramePr>
              <a:graphicFrameLocks noChangeAspect="1"/>
            </wp:cNvGraphicFramePr>
            <a:graphic>
              <a:graphicData uri="http://schemas.openxmlformats.org/drawingml/2006/picture">
                <pic:pic>
                  <pic:nvPicPr>
                    <pic:cNvPr id="0" name="dataset_anomaly_example.png"/>
                    <pic:cNvPicPr/>
                  </pic:nvPicPr>
                  <pic:blipFill>
                    <a:blip r:embed="rId9"/>
                    <a:stretch>
                      <a:fillRect/>
                    </a:stretch>
                  </pic:blipFill>
                  <pic:spPr>
                    <a:xfrm>
                      <a:off x="0" y="0"/>
                      <a:ext cx="5029200" cy="2077278"/>
                    </a:xfrm>
                    <a:prstGeom prst="rect"/>
                  </pic:spPr>
                </pic:pic>
              </a:graphicData>
            </a:graphic>
          </wp:inline>
        </w:drawing>
      </w:r>
    </w:p>
    <w:p>
      <w:pPr>
        <w:spacing w:before="80" w:after="0"/>
        <w:jc w:val="center"/>
      </w:pPr>
      <w:r>
        <w:rPr>
          <w:b/>
          <w:sz w:val="18"/>
        </w:rPr>
        <w:t>图3 测试集A典型异常片段时序可视化（红色曲线为异常节点，粉色阴影为异常时段）</w:t>
      </w:r>
    </w:p>
    <w:p>
      <w:pPr>
        <w:spacing w:before="0" w:after="160"/>
        <w:jc w:val="center"/>
      </w:pPr>
      <w:r>
        <w:rPr>
          <w:sz w:val="18"/>
        </w:rPr>
        <w:t>Fig.3 Visualization of typical anomaly segments in Test Set A</w:t>
      </w:r>
    </w:p>
    <w:p>
      <w:pPr>
        <w:pStyle w:val="Heading1"/>
        <w:spacing w:before="240" w:after="120"/>
      </w:pPr>
      <w:r>
        <w:rPr>
          <w:b/>
          <w:sz w:val="28"/>
        </w:rPr>
        <w:t>3 基于曲线相似性的异常评分方法</w:t>
      </w:r>
    </w:p>
    <w:p>
      <w:pPr>
        <w:spacing w:line="300" w:lineRule="auto"/>
        <w:ind w:firstLine="420"/>
      </w:pPr>
      <w:r>
        <w:rPr>
          <w:sz w:val="21"/>
        </w:rPr>
        <w:t>本节从数值距离、嵌入空间距离和局部密度三个互补视角设计异常评分方法。三种方法的核心思想一致：通过度量节点间曲线的偏离程度量化异常可能性。</w:t>
      </w:r>
    </w:p>
    <w:p>
      <w:pPr>
        <w:spacing w:before="200" w:after="80"/>
      </w:pPr>
      <w:r>
        <w:rPr>
          <w:b/>
          <w:sz w:val="24"/>
        </w:rPr>
        <w:t>3.1 基于欧氏距离的数值相似性度量</w:t>
      </w:r>
    </w:p>
    <w:p>
      <w:pPr>
        <w:spacing w:line="300" w:lineRule="auto"/>
        <w:ind w:firstLine="420"/>
      </w:pPr>
      <w:r>
        <w:rPr>
          <w:sz w:val="21"/>
        </w:rPr>
        <w:t>给定包含N个节点的分布式集群，每个节点i在时刻t的监控指标观测值记为x_i^t。采用滑动窗口机制对原始序列进行分段处理，对于长度为w的时间窗口，计算所有节点两两之间的欧氏距离构成距离矩阵。对每个节点i，计算其与其他所有节点的平均距离，然后采用Z-score标准化形式计算异常分数，将分数转换为相对于群体平均水平的偏离程度。设定阈值T，若标准化分数超过T，则判定该节点发生异常。</w:t>
      </w:r>
    </w:p>
    <w:p>
      <w:pPr>
        <w:spacing w:before="200" w:after="80"/>
      </w:pPr>
      <w:r>
        <w:rPr>
          <w:b/>
          <w:sz w:val="24"/>
        </w:rPr>
        <w:t>3.2 基于自编码器嵌入的形态相似性度量</w:t>
      </w:r>
    </w:p>
    <w:p>
      <w:pPr>
        <w:spacing w:line="300" w:lineRule="auto"/>
        <w:ind w:firstLine="420"/>
      </w:pPr>
      <w:r>
        <w:rPr>
          <w:sz w:val="21"/>
        </w:rPr>
        <w:t>欧氏距离方法对曲线的绝对数值高度敏感，可能忽略形态层面的相似性。为克服此局限，本研究引入自编码器进行深度特征提取，其网络结构如图4所示。编码器通过多层全连接网络将输入序列压缩为低维嵌入向量，解码器以对称结构从嵌入向量重构原始输入。通过最小化重构误差进行训练，嵌入向量保留曲线最本质的形态特征。</w:t>
      </w:r>
    </w:p>
    <w:p>
      <w:pPr>
        <w:jc w:val="center"/>
      </w:pPr>
      <w:r>
        <w:drawing>
          <wp:inline xmlns:a="http://schemas.openxmlformats.org/drawingml/2006/main" xmlns:pic="http://schemas.openxmlformats.org/drawingml/2006/picture" xmlns:asvg="http://schemas.microsoft.com/office/drawing/2016/SVG/main">
            <wp:extent cx="3657600" cy="1967321"/>
            <wp:docPr id="100004" name="Picture 100004"/>
            <wp:cNvGraphicFramePr>
              <a:graphicFrameLocks noChangeAspect="1"/>
            </wp:cNvGraphicFramePr>
            <a:graphic>
              <a:graphicData uri="http://schemas.openxmlformats.org/drawingml/2006/picture">
                <pic:pic>
                  <pic:nvPicPr>
                    <pic:cNvPr id="0" name="autoencoder_arch.png"/>
                    <pic:cNvPicPr/>
                  </pic:nvPicPr>
                  <pic:blipFill>
                    <a:blip r:embed="rId10"/>
                    <a:stretch>
                      <a:fillRect/>
                    </a:stretch>
                  </pic:blipFill>
                  <pic:spPr>
                    <a:xfrm>
                      <a:off x="0" y="0"/>
                      <a:ext cx="3657600" cy="1967321"/>
                    </a:xfrm>
                    <a:prstGeom prst="rect"/>
                  </pic:spPr>
                </pic:pic>
              </a:graphicData>
            </a:graphic>
          </wp:inline>
        </w:drawing>
      </w:r>
    </w:p>
    <w:p>
      <w:pPr>
        <w:spacing w:before="80" w:after="0"/>
        <w:jc w:val="center"/>
      </w:pPr>
      <w:r>
        <w:rPr>
          <w:b/>
          <w:sz w:val="18"/>
        </w:rPr>
        <w:t>图4 自编码器网络结构示意图</w:t>
      </w:r>
    </w:p>
    <w:p>
      <w:pPr>
        <w:spacing w:before="0" w:after="160"/>
        <w:jc w:val="center"/>
      </w:pPr>
      <w:r>
        <w:rPr>
          <w:sz w:val="18"/>
        </w:rPr>
        <w:t>Fig.4 Architecture of the autoencoder network</w:t>
      </w:r>
    </w:p>
    <w:p>
      <w:pPr>
        <w:spacing w:line="300" w:lineRule="auto"/>
        <w:ind w:firstLine="420"/>
      </w:pPr>
      <w:r>
        <w:rPr>
          <w:sz w:val="21"/>
        </w:rPr>
        <w:t>本研究采用的自编码器包含三层全连接编码器（维度变化为w→128→128→5）和对称的三层解码器，各隐藏层采用ReLU激活函数，Adam优化器，学习率0.001，训练50个epoch。在应用阶段仅使用编码器为各节点生成嵌入向量，后续基于嵌入向量计算节点间距离，异常分数计算流程与欧氏距离方法一致。</w:t>
      </w:r>
    </w:p>
    <w:p>
      <w:pPr>
        <w:spacing w:before="200" w:after="80"/>
      </w:pPr>
      <w:r>
        <w:rPr>
          <w:b/>
          <w:sz w:val="24"/>
        </w:rPr>
        <w:t>3.3 基于局部密度的偏离评分</w:t>
      </w:r>
    </w:p>
    <w:p>
      <w:pPr>
        <w:spacing w:line="300" w:lineRule="auto"/>
        <w:ind w:firstLine="420"/>
      </w:pPr>
      <w:r>
        <w:rPr>
          <w:sz w:val="21"/>
        </w:rPr>
        <w:t>除基于距离的方法外，本研究借鉴局部离群因子（LOF）的思想，设计基于k近邻可达密度的连续异常评分方法。对每个时间窗口内的每个节点i，基于距离矩阵找到其k个最近邻节点，计算局部可达密度（LRD）。综合LRD的Z-score、第k近邻距离的Z-score和邻域内邻居数量的Z-score三个子分数进行加权组合，得到密度偏离分数。该方法的优势在于输出连续的异常分数，适合与后续归一化聚合及自适应阈值算法衔接。</w:t>
      </w:r>
    </w:p>
    <w:p>
      <w:pPr>
        <w:spacing w:before="200" w:after="80"/>
      </w:pPr>
      <w:r>
        <w:rPr>
          <w:b/>
          <w:sz w:val="24"/>
        </w:rPr>
        <w:t>3.4 参数敏感性分析</w:t>
      </w:r>
    </w:p>
    <w:p>
      <w:pPr>
        <w:spacing w:line="300" w:lineRule="auto"/>
        <w:ind w:firstLine="420"/>
      </w:pPr>
      <w:r>
        <w:rPr>
          <w:sz w:val="21"/>
        </w:rPr>
        <w:t>为验证上述三种方法的有效性，在构建的数据集上进行实验评估。三种方法在各自最优参数配置下的检测结果如表2所示，F1分数均超过0.96，显著优于现有基线算法。</w:t>
      </w:r>
    </w:p>
    <w:p>
      <w:pPr>
        <w:spacing w:before="160" w:after="0"/>
        <w:jc w:val="center"/>
      </w:pPr>
      <w:r>
        <w:rPr>
          <w:b/>
          <w:sz w:val="18"/>
        </w:rPr>
        <w:t>表2 基线算法与曲线相似性方法异常检测结果</w:t>
      </w:r>
    </w:p>
    <w:p>
      <w:pPr>
        <w:spacing w:before="0" w:after="80"/>
        <w:jc w:val="center"/>
      </w:pPr>
      <w:r>
        <w:rPr>
          <w:sz w:val="18"/>
        </w:rPr>
        <w:t>Table 2 Anomaly detection results of baseline algorithms and curve similarity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c>
          <w:tcPr>
            <w:tcW w:type="dxa" w:w="1662"/>
          </w:tcPr>
          <w:p>
            <w:pPr>
              <w:jc w:val="center"/>
            </w:pPr>
            <w:r/>
            <w:r>
              <w:rPr>
                <w:b/>
                <w:sz w:val="18"/>
              </w:rPr>
              <w:t>类别</w:t>
            </w:r>
          </w:p>
        </w:tc>
        <w:tc>
          <w:tcPr>
            <w:tcW w:type="dxa" w:w="1662"/>
          </w:tcPr>
          <w:p>
            <w:pPr>
              <w:jc w:val="center"/>
            </w:pPr>
            <w:r/>
            <w:r>
              <w:rPr>
                <w:b/>
                <w:sz w:val="18"/>
              </w:rPr>
              <w:t>算法</w:t>
            </w:r>
          </w:p>
        </w:tc>
        <w:tc>
          <w:tcPr>
            <w:tcW w:type="dxa" w:w="1662"/>
          </w:tcPr>
          <w:p>
            <w:pPr>
              <w:jc w:val="center"/>
            </w:pPr>
            <w:r/>
            <w:r>
              <w:rPr>
                <w:b/>
                <w:sz w:val="18"/>
              </w:rPr>
              <w:t>Precision</w:t>
            </w:r>
          </w:p>
        </w:tc>
        <w:tc>
          <w:tcPr>
            <w:tcW w:type="dxa" w:w="1662"/>
          </w:tcPr>
          <w:p>
            <w:pPr>
              <w:jc w:val="center"/>
            </w:pPr>
            <w:r/>
            <w:r>
              <w:rPr>
                <w:b/>
                <w:sz w:val="18"/>
              </w:rPr>
              <w:t>Recall</w:t>
            </w:r>
          </w:p>
        </w:tc>
        <w:tc>
          <w:tcPr>
            <w:tcW w:type="dxa" w:w="1662"/>
          </w:tcPr>
          <w:p>
            <w:pPr>
              <w:jc w:val="center"/>
            </w:pPr>
            <w:r/>
            <w:r>
              <w:rPr>
                <w:b/>
                <w:sz w:val="18"/>
              </w:rPr>
              <w:t>F1</w:t>
            </w:r>
          </w:p>
        </w:tc>
      </w:tr>
      <w:tr>
        <w:tc>
          <w:tcPr>
            <w:tcW w:type="dxa" w:w="1662"/>
          </w:tcPr>
          <w:p>
            <w:pPr>
              <w:jc w:val="center"/>
            </w:pPr>
            <w:r/>
            <w:r>
              <w:rPr>
                <w:sz w:val="18"/>
              </w:rPr>
              <w:t>基线算法</w:t>
            </w:r>
          </w:p>
        </w:tc>
        <w:tc>
          <w:tcPr>
            <w:tcW w:type="dxa" w:w="1662"/>
          </w:tcPr>
          <w:p>
            <w:pPr>
              <w:jc w:val="center"/>
            </w:pPr>
            <w:r/>
            <w:r>
              <w:rPr>
                <w:sz w:val="18"/>
              </w:rPr>
              <w:t>TranAD[3]</w:t>
            </w:r>
          </w:p>
        </w:tc>
        <w:tc>
          <w:tcPr>
            <w:tcW w:type="dxa" w:w="1662"/>
          </w:tcPr>
          <w:p>
            <w:pPr>
              <w:jc w:val="center"/>
            </w:pPr>
            <w:r/>
            <w:r>
              <w:rPr>
                <w:sz w:val="18"/>
              </w:rPr>
              <w:t>0.8889</w:t>
            </w:r>
          </w:p>
        </w:tc>
        <w:tc>
          <w:tcPr>
            <w:tcW w:type="dxa" w:w="1662"/>
          </w:tcPr>
          <w:p>
            <w:pPr>
              <w:jc w:val="center"/>
            </w:pPr>
            <w:r/>
            <w:r>
              <w:rPr>
                <w:sz w:val="18"/>
              </w:rPr>
              <w:t>0.3932</w:t>
            </w:r>
          </w:p>
        </w:tc>
        <w:tc>
          <w:tcPr>
            <w:tcW w:type="dxa" w:w="1662"/>
          </w:tcPr>
          <w:p>
            <w:pPr>
              <w:jc w:val="center"/>
            </w:pPr>
            <w:r/>
            <w:r>
              <w:rPr>
                <w:sz w:val="18"/>
              </w:rPr>
              <w:t>0.5452</w:t>
            </w:r>
          </w:p>
        </w:tc>
      </w:tr>
      <w:tr>
        <w:tc>
          <w:tcPr>
            <w:tcW w:type="dxa" w:w="1662"/>
          </w:tcPr>
          <w:p>
            <w:pPr>
              <w:jc w:val="center"/>
            </w:pPr>
            <w:r/>
            <w:r>
              <w:rPr>
                <w:sz w:val="18"/>
              </w:rPr>
              <w:t>基线算法</w:t>
            </w:r>
          </w:p>
        </w:tc>
        <w:tc>
          <w:tcPr>
            <w:tcW w:type="dxa" w:w="1662"/>
          </w:tcPr>
          <w:p>
            <w:pPr>
              <w:jc w:val="center"/>
            </w:pPr>
            <w:r/>
            <w:r>
              <w:rPr>
                <w:sz w:val="18"/>
              </w:rPr>
              <w:t>USAD[2]</w:t>
            </w:r>
          </w:p>
        </w:tc>
        <w:tc>
          <w:tcPr>
            <w:tcW w:type="dxa" w:w="1662"/>
          </w:tcPr>
          <w:p>
            <w:pPr>
              <w:jc w:val="center"/>
            </w:pPr>
            <w:r/>
            <w:r>
              <w:rPr>
                <w:sz w:val="18"/>
              </w:rPr>
              <w:t>0.6892</w:t>
            </w:r>
          </w:p>
        </w:tc>
        <w:tc>
          <w:tcPr>
            <w:tcW w:type="dxa" w:w="1662"/>
          </w:tcPr>
          <w:p>
            <w:pPr>
              <w:jc w:val="center"/>
            </w:pPr>
            <w:r/>
            <w:r>
              <w:rPr>
                <w:sz w:val="18"/>
              </w:rPr>
              <w:t>0.5567</w:t>
            </w:r>
          </w:p>
        </w:tc>
        <w:tc>
          <w:tcPr>
            <w:tcW w:type="dxa" w:w="1662"/>
          </w:tcPr>
          <w:p>
            <w:pPr>
              <w:jc w:val="center"/>
            </w:pPr>
            <w:r/>
            <w:r>
              <w:rPr>
                <w:sz w:val="18"/>
              </w:rPr>
              <w:t>0.6159</w:t>
            </w:r>
          </w:p>
        </w:tc>
      </w:tr>
      <w:tr>
        <w:tc>
          <w:tcPr>
            <w:tcW w:type="dxa" w:w="1662"/>
          </w:tcPr>
          <w:p>
            <w:pPr>
              <w:jc w:val="center"/>
            </w:pPr>
            <w:r/>
            <w:r>
              <w:rPr>
                <w:sz w:val="18"/>
              </w:rPr>
              <w:t>基线算法</w:t>
            </w:r>
          </w:p>
        </w:tc>
        <w:tc>
          <w:tcPr>
            <w:tcW w:type="dxa" w:w="1662"/>
          </w:tcPr>
          <w:p>
            <w:pPr>
              <w:jc w:val="center"/>
            </w:pPr>
            <w:r/>
            <w:r>
              <w:rPr>
                <w:sz w:val="18"/>
              </w:rPr>
              <w:t>OmniAnomaly[1]</w:t>
            </w:r>
          </w:p>
        </w:tc>
        <w:tc>
          <w:tcPr>
            <w:tcW w:type="dxa" w:w="1662"/>
          </w:tcPr>
          <w:p>
            <w:pPr>
              <w:jc w:val="center"/>
            </w:pPr>
            <w:r/>
            <w:r>
              <w:rPr>
                <w:sz w:val="18"/>
              </w:rPr>
              <w:t>0.6054</w:t>
            </w:r>
          </w:p>
        </w:tc>
        <w:tc>
          <w:tcPr>
            <w:tcW w:type="dxa" w:w="1662"/>
          </w:tcPr>
          <w:p>
            <w:pPr>
              <w:jc w:val="center"/>
            </w:pPr>
            <w:r/>
            <w:r>
              <w:rPr>
                <w:sz w:val="18"/>
              </w:rPr>
              <w:t>0.4593</w:t>
            </w:r>
          </w:p>
        </w:tc>
        <w:tc>
          <w:tcPr>
            <w:tcW w:type="dxa" w:w="1662"/>
          </w:tcPr>
          <w:p>
            <w:pPr>
              <w:jc w:val="center"/>
            </w:pPr>
            <w:r/>
            <w:r>
              <w:rPr>
                <w:sz w:val="18"/>
              </w:rPr>
              <w:t>0.5224</w:t>
            </w:r>
          </w:p>
        </w:tc>
      </w:tr>
      <w:tr>
        <w:tc>
          <w:tcPr>
            <w:tcW w:type="dxa" w:w="1662"/>
          </w:tcPr>
          <w:p>
            <w:pPr>
              <w:jc w:val="center"/>
            </w:pPr>
            <w:r/>
            <w:r>
              <w:rPr>
                <w:sz w:val="18"/>
              </w:rPr>
              <w:t>基线算法</w:t>
            </w:r>
          </w:p>
        </w:tc>
        <w:tc>
          <w:tcPr>
            <w:tcW w:type="dxa" w:w="1662"/>
          </w:tcPr>
          <w:p>
            <w:pPr>
              <w:jc w:val="center"/>
            </w:pPr>
            <w:r/>
            <w:r>
              <w:rPr>
                <w:sz w:val="18"/>
              </w:rPr>
              <w:t>GDN[4]</w:t>
            </w:r>
          </w:p>
        </w:tc>
        <w:tc>
          <w:tcPr>
            <w:tcW w:type="dxa" w:w="1662"/>
          </w:tcPr>
          <w:p>
            <w:pPr>
              <w:jc w:val="center"/>
            </w:pPr>
            <w:r/>
            <w:r>
              <w:rPr>
                <w:sz w:val="18"/>
              </w:rPr>
              <w:t>0.3101</w:t>
            </w:r>
          </w:p>
        </w:tc>
        <w:tc>
          <w:tcPr>
            <w:tcW w:type="dxa" w:w="1662"/>
          </w:tcPr>
          <w:p>
            <w:pPr>
              <w:jc w:val="center"/>
            </w:pPr>
            <w:r/>
            <w:r>
              <w:rPr>
                <w:sz w:val="18"/>
              </w:rPr>
              <w:t>0.5218</w:t>
            </w:r>
          </w:p>
        </w:tc>
        <w:tc>
          <w:tcPr>
            <w:tcW w:type="dxa" w:w="1662"/>
          </w:tcPr>
          <w:p>
            <w:pPr>
              <w:jc w:val="center"/>
            </w:pPr>
            <w:r/>
            <w:r>
              <w:rPr>
                <w:sz w:val="18"/>
              </w:rPr>
              <w:t>0.3890</w:t>
            </w:r>
          </w:p>
        </w:tc>
      </w:tr>
      <w:tr>
        <w:tc>
          <w:tcPr>
            <w:tcW w:type="dxa" w:w="1662"/>
          </w:tcPr>
          <w:p>
            <w:pPr>
              <w:jc w:val="center"/>
            </w:pPr>
            <w:r/>
            <w:r>
              <w:rPr>
                <w:sz w:val="18"/>
              </w:rPr>
              <w:t>基线算法</w:t>
            </w:r>
          </w:p>
        </w:tc>
        <w:tc>
          <w:tcPr>
            <w:tcW w:type="dxa" w:w="1662"/>
          </w:tcPr>
          <w:p>
            <w:pPr>
              <w:jc w:val="center"/>
            </w:pPr>
            <w:r/>
            <w:r>
              <w:rPr>
                <w:sz w:val="18"/>
              </w:rPr>
              <w:t>MAD_GAN[6]</w:t>
            </w:r>
          </w:p>
        </w:tc>
        <w:tc>
          <w:tcPr>
            <w:tcW w:type="dxa" w:w="1662"/>
          </w:tcPr>
          <w:p>
            <w:pPr>
              <w:jc w:val="center"/>
            </w:pPr>
            <w:r/>
            <w:r>
              <w:rPr>
                <w:sz w:val="18"/>
              </w:rPr>
              <w:t>0.6309</w:t>
            </w:r>
          </w:p>
        </w:tc>
        <w:tc>
          <w:tcPr>
            <w:tcW w:type="dxa" w:w="1662"/>
          </w:tcPr>
          <w:p>
            <w:pPr>
              <w:jc w:val="center"/>
            </w:pPr>
            <w:r/>
            <w:r>
              <w:rPr>
                <w:sz w:val="18"/>
              </w:rPr>
              <w:t>0.6309</w:t>
            </w:r>
          </w:p>
        </w:tc>
        <w:tc>
          <w:tcPr>
            <w:tcW w:type="dxa" w:w="1662"/>
          </w:tcPr>
          <w:p>
            <w:pPr>
              <w:jc w:val="center"/>
            </w:pPr>
            <w:r/>
            <w:r>
              <w:rPr>
                <w:sz w:val="18"/>
              </w:rPr>
              <w:t>0.6891</w:t>
            </w:r>
          </w:p>
        </w:tc>
      </w:tr>
      <w:tr>
        <w:tc>
          <w:tcPr>
            <w:tcW w:type="dxa" w:w="1662"/>
          </w:tcPr>
          <w:p>
            <w:pPr>
              <w:jc w:val="center"/>
            </w:pPr>
            <w:r/>
            <w:r>
              <w:rPr>
                <w:sz w:val="18"/>
              </w:rPr>
              <w:t>基线算法</w:t>
            </w:r>
          </w:p>
        </w:tc>
        <w:tc>
          <w:tcPr>
            <w:tcW w:type="dxa" w:w="1662"/>
          </w:tcPr>
          <w:p>
            <w:pPr>
              <w:jc w:val="center"/>
            </w:pPr>
            <w:r/>
            <w:r>
              <w:rPr>
                <w:sz w:val="18"/>
              </w:rPr>
              <w:t>MTAD_GAT[5]</w:t>
            </w:r>
          </w:p>
        </w:tc>
        <w:tc>
          <w:tcPr>
            <w:tcW w:type="dxa" w:w="1662"/>
          </w:tcPr>
          <w:p>
            <w:pPr>
              <w:jc w:val="center"/>
            </w:pPr>
            <w:r/>
            <w:r>
              <w:rPr>
                <w:sz w:val="18"/>
              </w:rPr>
              <w:t>0.3492</w:t>
            </w:r>
          </w:p>
        </w:tc>
        <w:tc>
          <w:tcPr>
            <w:tcW w:type="dxa" w:w="1662"/>
          </w:tcPr>
          <w:p>
            <w:pPr>
              <w:jc w:val="center"/>
            </w:pPr>
            <w:r/>
            <w:r>
              <w:rPr>
                <w:sz w:val="18"/>
              </w:rPr>
              <w:t>0.1573</w:t>
            </w:r>
          </w:p>
        </w:tc>
        <w:tc>
          <w:tcPr>
            <w:tcW w:type="dxa" w:w="1662"/>
          </w:tcPr>
          <w:p>
            <w:pPr>
              <w:jc w:val="center"/>
            </w:pPr>
            <w:r/>
            <w:r>
              <w:rPr>
                <w:sz w:val="18"/>
              </w:rPr>
              <w:t>0.2169</w:t>
            </w:r>
          </w:p>
        </w:tc>
      </w:tr>
      <w:tr>
        <w:tc>
          <w:tcPr>
            <w:tcW w:type="dxa" w:w="1662"/>
          </w:tcPr>
          <w:p>
            <w:pPr>
              <w:jc w:val="center"/>
            </w:pPr>
            <w:r/>
            <w:r>
              <w:rPr>
                <w:sz w:val="18"/>
              </w:rPr>
              <w:t>相似性方法</w:t>
            </w:r>
          </w:p>
        </w:tc>
        <w:tc>
          <w:tcPr>
            <w:tcW w:type="dxa" w:w="1662"/>
          </w:tcPr>
          <w:p>
            <w:pPr>
              <w:jc w:val="center"/>
            </w:pPr>
            <w:r/>
            <w:r>
              <w:rPr>
                <w:sz w:val="18"/>
              </w:rPr>
              <w:t>欧氏距离</w:t>
            </w:r>
          </w:p>
        </w:tc>
        <w:tc>
          <w:tcPr>
            <w:tcW w:type="dxa" w:w="1662"/>
          </w:tcPr>
          <w:p>
            <w:pPr>
              <w:jc w:val="center"/>
            </w:pPr>
            <w:r/>
            <w:r>
              <w:rPr>
                <w:sz w:val="18"/>
              </w:rPr>
              <w:t>0.9826</w:t>
            </w:r>
          </w:p>
        </w:tc>
        <w:tc>
          <w:tcPr>
            <w:tcW w:type="dxa" w:w="1662"/>
          </w:tcPr>
          <w:p>
            <w:pPr>
              <w:jc w:val="center"/>
            </w:pPr>
            <w:r/>
            <w:r>
              <w:rPr>
                <w:sz w:val="18"/>
              </w:rPr>
              <w:t>0.9657</w:t>
            </w:r>
          </w:p>
        </w:tc>
        <w:tc>
          <w:tcPr>
            <w:tcW w:type="dxa" w:w="1662"/>
          </w:tcPr>
          <w:p>
            <w:pPr>
              <w:jc w:val="center"/>
            </w:pPr>
            <w:r/>
            <w:r>
              <w:rPr>
                <w:sz w:val="18"/>
              </w:rPr>
              <w:t>0.9741</w:t>
            </w:r>
          </w:p>
        </w:tc>
      </w:tr>
      <w:tr>
        <w:tc>
          <w:tcPr>
            <w:tcW w:type="dxa" w:w="1662"/>
          </w:tcPr>
          <w:p>
            <w:pPr>
              <w:jc w:val="center"/>
            </w:pPr>
            <w:r/>
            <w:r>
              <w:rPr>
                <w:sz w:val="18"/>
              </w:rPr>
              <w:t>相似性方法</w:t>
            </w:r>
          </w:p>
        </w:tc>
        <w:tc>
          <w:tcPr>
            <w:tcW w:type="dxa" w:w="1662"/>
          </w:tcPr>
          <w:p>
            <w:pPr>
              <w:jc w:val="center"/>
            </w:pPr>
            <w:r/>
            <w:r>
              <w:rPr>
                <w:sz w:val="18"/>
              </w:rPr>
              <w:t>自编码器嵌入</w:t>
            </w:r>
          </w:p>
        </w:tc>
        <w:tc>
          <w:tcPr>
            <w:tcW w:type="dxa" w:w="1662"/>
          </w:tcPr>
          <w:p>
            <w:pPr>
              <w:jc w:val="center"/>
            </w:pPr>
            <w:r/>
            <w:r>
              <w:rPr>
                <w:sz w:val="18"/>
              </w:rPr>
              <w:t>0.9792</w:t>
            </w:r>
          </w:p>
        </w:tc>
        <w:tc>
          <w:tcPr>
            <w:tcW w:type="dxa" w:w="1662"/>
          </w:tcPr>
          <w:p>
            <w:pPr>
              <w:jc w:val="center"/>
            </w:pPr>
            <w:r/>
            <w:r>
              <w:rPr>
                <w:sz w:val="18"/>
              </w:rPr>
              <w:t>0.9592</w:t>
            </w:r>
          </w:p>
        </w:tc>
        <w:tc>
          <w:tcPr>
            <w:tcW w:type="dxa" w:w="1662"/>
          </w:tcPr>
          <w:p>
            <w:pPr>
              <w:jc w:val="center"/>
            </w:pPr>
            <w:r/>
            <w:r>
              <w:rPr>
                <w:sz w:val="18"/>
              </w:rPr>
              <w:t>0.9691</w:t>
            </w:r>
          </w:p>
        </w:tc>
      </w:tr>
      <w:tr>
        <w:tc>
          <w:tcPr>
            <w:tcW w:type="dxa" w:w="1662"/>
          </w:tcPr>
          <w:p>
            <w:pPr>
              <w:jc w:val="center"/>
            </w:pPr>
            <w:r/>
            <w:r>
              <w:rPr>
                <w:sz w:val="18"/>
              </w:rPr>
              <w:t>相似性方法</w:t>
            </w:r>
          </w:p>
        </w:tc>
        <w:tc>
          <w:tcPr>
            <w:tcW w:type="dxa" w:w="1662"/>
          </w:tcPr>
          <w:p>
            <w:pPr>
              <w:jc w:val="center"/>
            </w:pPr>
            <w:r/>
            <w:r>
              <w:rPr>
                <w:sz w:val="18"/>
              </w:rPr>
              <w:t>密度偏离</w:t>
            </w:r>
          </w:p>
        </w:tc>
        <w:tc>
          <w:tcPr>
            <w:tcW w:type="dxa" w:w="1662"/>
          </w:tcPr>
          <w:p>
            <w:pPr>
              <w:jc w:val="center"/>
            </w:pPr>
            <w:r/>
            <w:r>
              <w:rPr>
                <w:sz w:val="18"/>
              </w:rPr>
              <w:t>0.9605</w:t>
            </w:r>
          </w:p>
        </w:tc>
        <w:tc>
          <w:tcPr>
            <w:tcW w:type="dxa" w:w="1662"/>
          </w:tcPr>
          <w:p>
            <w:pPr>
              <w:jc w:val="center"/>
            </w:pPr>
            <w:r/>
            <w:r>
              <w:rPr>
                <w:sz w:val="18"/>
              </w:rPr>
              <w:t>0.9659</w:t>
            </w:r>
          </w:p>
        </w:tc>
        <w:tc>
          <w:tcPr>
            <w:tcW w:type="dxa" w:w="1662"/>
          </w:tcPr>
          <w:p>
            <w:pPr>
              <w:jc w:val="center"/>
            </w:pPr>
            <w:r/>
            <w:r>
              <w:rPr>
                <w:sz w:val="18"/>
              </w:rPr>
              <w:t>0.9632</w:t>
            </w:r>
          </w:p>
        </w:tc>
      </w:tr>
    </w:tbl>
    <w:p/>
    <w:p>
      <w:pPr>
        <w:spacing w:line="300" w:lineRule="auto"/>
        <w:ind w:firstLine="420"/>
      </w:pPr>
      <w:r>
        <w:rPr>
          <w:sz w:val="21"/>
        </w:rPr>
        <w:t>然而，上述优异性能严重依赖精确的参数调优。图5展示了三种方法的F1分数随阈值变化的趋势，均呈现典型的"先升后降"特征，且在最优阈值附近存在陡峭的性能衰减。尤其是欧氏距离和自编码器嵌入方法，当阈值超过3.6后F1分数急剧跌落至零，呈现显著的"悬崖效应"。</w:t>
      </w:r>
    </w:p>
    <w:p>
      <w:pPr>
        <w:jc w:val="center"/>
      </w:pPr>
      <w:r>
        <w:drawing>
          <wp:inline xmlns:a="http://schemas.openxmlformats.org/drawingml/2006/main" xmlns:pic="http://schemas.openxmlformats.org/drawingml/2006/picture" xmlns:asvg="http://schemas.microsoft.com/office/drawing/2016/SVG/main">
            <wp:extent cx="5029200" cy="1394652"/>
            <wp:docPr id="100005" name="Picture 100005"/>
            <wp:cNvGraphicFramePr>
              <a:graphicFrameLocks noChangeAspect="1"/>
            </wp:cNvGraphicFramePr>
            <a:graphic>
              <a:graphicData uri="http://schemas.openxmlformats.org/drawingml/2006/picture">
                <pic:pic>
                  <pic:nvPicPr>
                    <pic:cNvPr id="0" name="threshold_sensitivity.png"/>
                    <pic:cNvPicPr/>
                  </pic:nvPicPr>
                  <pic:blipFill>
                    <a:blip r:embed="rId11"/>
                    <a:stretch>
                      <a:fillRect/>
                    </a:stretch>
                  </pic:blipFill>
                  <pic:spPr>
                    <a:xfrm>
                      <a:off x="0" y="0"/>
                      <a:ext cx="5029200" cy="1394652"/>
                    </a:xfrm>
                    <a:prstGeom prst="rect"/>
                  </pic:spPr>
                </pic:pic>
              </a:graphicData>
            </a:graphic>
          </wp:inline>
        </w:drawing>
      </w:r>
    </w:p>
    <w:p>
      <w:pPr>
        <w:spacing w:before="80" w:after="0"/>
        <w:jc w:val="center"/>
      </w:pPr>
      <w:r>
        <w:rPr>
          <w:b/>
          <w:sz w:val="18"/>
        </w:rPr>
        <w:t>图5 三种检测方法在不同窗口大小下F1分数随阈值变化的折线图</w:t>
      </w:r>
    </w:p>
    <w:p>
      <w:pPr>
        <w:spacing w:before="0" w:after="160"/>
        <w:jc w:val="center"/>
      </w:pPr>
      <w:r>
        <w:rPr>
          <w:sz w:val="18"/>
        </w:rPr>
        <w:t>Fig.5 F1 score vs. threshold for three detection methods under different window sizes</w:t>
      </w:r>
    </w:p>
    <w:p>
      <w:pPr>
        <w:spacing w:line="300" w:lineRule="auto"/>
        <w:ind w:firstLine="420"/>
      </w:pPr>
      <w:r>
        <w:rPr>
          <w:sz w:val="21"/>
        </w:rPr>
        <w:t>上述实验揭示了基于曲线相似性方法在实际部署中面临的核心挑战：高性能严重依赖精确的参数调优，而不同集群的统计特性差异使得参数难以跨场景复用，且生产环境中获取标注数据用于调参的成本极高。如何降低算法对预设阈值的依赖性，实现阈值的动态自适应调整，成为关键技术挑战。</w:t>
      </w:r>
    </w:p>
    <w:p>
      <w:pPr>
        <w:pStyle w:val="Heading1"/>
        <w:spacing w:before="240" w:after="120"/>
      </w:pPr>
      <w:r>
        <w:rPr>
          <w:b/>
          <w:sz w:val="28"/>
        </w:rPr>
        <w:t>4 CSAD-AT框架</w:t>
      </w:r>
    </w:p>
    <w:p>
      <w:pPr>
        <w:spacing w:before="200" w:after="80"/>
      </w:pPr>
      <w:r>
        <w:rPr>
          <w:b/>
          <w:sz w:val="24"/>
        </w:rPr>
        <w:t>4.1 框架概述</w:t>
      </w:r>
    </w:p>
    <w:p>
      <w:pPr>
        <w:spacing w:line="300" w:lineRule="auto"/>
        <w:ind w:firstLine="420"/>
      </w:pPr>
      <w:r>
        <w:rPr>
          <w:sz w:val="21"/>
        </w:rPr>
        <w:t>为解决阈值依赖问题，本文提出CSAD-AT（Curve Similarity-based Anomaly Detection with Adaptive Threshold）框架，其整体架构如图6所示。框架包含三个核心模块：（1）多视角相似性评分模块，融合欧氏距离、自编码器嵌入和局部密度偏离三种互补评分方法；（2）分数归一化与聚合模块，将不同量纲的评分统一归一化后加权融合；（3）I-SPOT自适应阈值检测模块，基于极值理论动态确定异常判定边界。</w:t>
      </w:r>
    </w:p>
    <w:p>
      <w:pPr>
        <w:jc w:val="center"/>
      </w:pPr>
      <w:r>
        <w:drawing>
          <wp:inline xmlns:a="http://schemas.openxmlformats.org/drawingml/2006/main" xmlns:pic="http://schemas.openxmlformats.org/drawingml/2006/picture" xmlns:asvg="http://schemas.microsoft.com/office/drawing/2016/SVG/main">
            <wp:extent cx="5029200" cy="1383935"/>
            <wp:docPr id="100006" name="Picture 100006"/>
            <wp:cNvGraphicFramePr>
              <a:graphicFrameLocks noChangeAspect="1"/>
            </wp:cNvGraphicFramePr>
            <a:graphic>
              <a:graphicData uri="http://schemas.openxmlformats.org/drawingml/2006/picture">
                <pic:pic>
                  <pic:nvPicPr>
                    <pic:cNvPr id="0" name="image4-6.png"/>
                    <pic:cNvPicPr/>
                  </pic:nvPicPr>
                  <pic:blipFill>
                    <a:blip r:embed="rId12"/>
                    <a:stretch>
                      <a:fillRect/>
                    </a:stretch>
                  </pic:blipFill>
                  <pic:spPr>
                    <a:xfrm>
                      <a:off x="0" y="0"/>
                      <a:ext cx="5029200" cy="1383935"/>
                    </a:xfrm>
                    <a:prstGeom prst="rect"/>
                  </pic:spPr>
                </pic:pic>
              </a:graphicData>
            </a:graphic>
          </wp:inline>
        </w:drawing>
      </w:r>
    </w:p>
    <w:p>
      <w:pPr>
        <w:spacing w:before="80" w:after="0"/>
        <w:jc w:val="center"/>
      </w:pPr>
      <w:r>
        <w:rPr>
          <w:b/>
          <w:sz w:val="18"/>
        </w:rPr>
        <w:t>图6 CSAD-AT框架整体架构</w:t>
      </w:r>
    </w:p>
    <w:p>
      <w:pPr>
        <w:spacing w:before="0" w:after="160"/>
        <w:jc w:val="center"/>
      </w:pPr>
      <w:r>
        <w:rPr>
          <w:sz w:val="18"/>
        </w:rPr>
        <w:t>Fig.6 Overall architecture of the CSAD-AT framework</w:t>
      </w:r>
    </w:p>
    <w:p>
      <w:pPr>
        <w:spacing w:before="200" w:after="80"/>
      </w:pPr>
      <w:r>
        <w:rPr>
          <w:b/>
          <w:sz w:val="24"/>
        </w:rPr>
        <w:t>4.2 分数归一化与聚合</w:t>
      </w:r>
    </w:p>
    <w:p>
      <w:pPr>
        <w:spacing w:line="300" w:lineRule="auto"/>
        <w:ind w:firstLine="420"/>
      </w:pPr>
      <w:r>
        <w:rPr>
          <w:sz w:val="21"/>
        </w:rPr>
        <w:t>三种评分方法输出的原始分数在量纲和数值范围上存在显著差异。CSAD-AT框架对每种方法的分数序列执行两步归一化：首先将所有负值截断为零（负值表示与群体高度一致），然后进行MinMax归一化映射到[0, 1]区间。归一化后的三种分数通过等权加权平均进行聚合，得到综合异常分数。选择加权平均策略的理由在于：相比最大值融合，保留连续分数信息不会因单个方法偶然高分过度放大噪声；相比投票机制，输出连续值有利于后续I-SPOT的GPD尾部建模。</w:t>
      </w:r>
    </w:p>
    <w:p>
      <w:pPr>
        <w:spacing w:before="200" w:after="80"/>
      </w:pPr>
      <w:r>
        <w:rPr>
          <w:b/>
          <w:sz w:val="24"/>
        </w:rPr>
        <w:t>4.3 I-SPOT自适应阈值算法</w:t>
      </w:r>
    </w:p>
    <w:p>
      <w:pPr>
        <w:spacing w:line="300" w:lineRule="auto"/>
        <w:ind w:firstLine="420"/>
      </w:pPr>
      <w:r>
        <w:rPr>
          <w:sz w:val="21"/>
        </w:rPr>
        <w:t>经典SPOT算法基于广义帕累托分布（GPD）对分数分布尾部建模，自动确定异常阈值。然而，其数据池更新策略在概念漂移条件下存在阈值衰减问题：仅将未超过阈值的正常数据纳入更新池，导致数据池被"截断"，阈值逐渐失效。</w:t>
      </w:r>
    </w:p>
    <w:p>
      <w:pPr>
        <w:spacing w:line="300" w:lineRule="auto"/>
        <w:ind w:firstLine="420"/>
      </w:pPr>
      <w:r>
        <w:rPr>
          <w:sz w:val="21"/>
        </w:rPr>
        <w:t>本文提出I-SPOT（Inclusive SPOT）算法进行改进。核心思想是采用包容性更新策略：维护一个最大容量为W_max的先进先出数据池，所有数据点（无论是否超过阈值）均纳入数据池，使模型能够动态跟踪数据分布的演化趋势。同时采用周期性重估策略，每隔T_update个时间步重新计算初始阈值、提取超额量、重新拟合GPD参数并更新自适应阈值。</w:t>
      </w:r>
    </w:p>
    <w:p>
      <w:pPr>
        <w:spacing w:line="300" w:lineRule="auto"/>
        <w:ind w:firstLine="420"/>
      </w:pPr>
      <w:r>
        <w:rPr>
          <w:sz w:val="21"/>
        </w:rPr>
        <w:t>CSAD-AT框架将所有节点的聚合分数按窗口交织为全局时间序列，在全局序列上运行单个I-SPOT实例。这种设计的优势在于：所有节点共享同一阈值降低计算开销，全局序列样本量更大使GPD拟合更稳健，阈值能同时反映所有节点的分数分布特征。</w:t>
      </w:r>
    </w:p>
    <w:p>
      <w:pPr>
        <w:pStyle w:val="Heading1"/>
        <w:spacing w:before="240" w:after="120"/>
      </w:pPr>
      <w:r>
        <w:rPr>
          <w:b/>
          <w:sz w:val="28"/>
        </w:rPr>
        <w:t>5 实验验证与分析</w:t>
      </w:r>
    </w:p>
    <w:p>
      <w:pPr>
        <w:spacing w:before="200" w:after="80"/>
      </w:pPr>
      <w:r>
        <w:rPr>
          <w:b/>
          <w:sz w:val="24"/>
        </w:rPr>
        <w:t>5.1 实验设置</w:t>
      </w:r>
    </w:p>
    <w:p>
      <w:pPr>
        <w:spacing w:line="300" w:lineRule="auto"/>
        <w:ind w:firstLine="420"/>
      </w:pPr>
      <w:r>
        <w:rPr>
          <w:sz w:val="21"/>
        </w:rPr>
        <w:t>实验在本文构建的单指标多节点数据集上进行。评估指标采用精确率（Precision）、召回率（Recall）和F1分数。I-SPOT算法的超参数设置为：风险水平q=0.0065，分位数水平level=0.98，重估间隔T_update=50，初始序列长度n_0=1500。基线算法包括六种主流多元时序异常检测算法，均使用作者开源代码和默认推荐参数。</w:t>
      </w:r>
    </w:p>
    <w:p>
      <w:pPr>
        <w:spacing w:before="200" w:after="80"/>
      </w:pPr>
      <w:r>
        <w:rPr>
          <w:b/>
          <w:sz w:val="24"/>
        </w:rPr>
        <w:t>5.2 整体性能分析</w:t>
      </w:r>
    </w:p>
    <w:p>
      <w:pPr>
        <w:spacing w:line="300" w:lineRule="auto"/>
        <w:ind w:firstLine="420"/>
      </w:pPr>
      <w:r>
        <w:rPr>
          <w:sz w:val="21"/>
        </w:rPr>
        <w:t>表3展示了CSAD-AT框架与各基线算法及三种单独评分方法的检测性能对比。</w:t>
      </w:r>
    </w:p>
    <w:p>
      <w:pPr>
        <w:spacing w:before="160" w:after="0"/>
        <w:jc w:val="center"/>
      </w:pPr>
      <w:r>
        <w:rPr>
          <w:b/>
          <w:sz w:val="18"/>
        </w:rPr>
        <w:t>表3 CSAD-AT与基线算法及相似性算法的整体性能对比</w:t>
      </w:r>
    </w:p>
    <w:p>
      <w:pPr>
        <w:spacing w:before="0" w:after="80"/>
        <w:jc w:val="center"/>
      </w:pPr>
      <w:r>
        <w:rPr>
          <w:sz w:val="18"/>
        </w:rPr>
        <w:t>Table 3 Overall performance comparison of CSAD-AT with baselines and similarity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c>
          <w:tcPr>
            <w:tcW w:type="dxa" w:w="1662"/>
          </w:tcPr>
          <w:p>
            <w:pPr>
              <w:jc w:val="center"/>
            </w:pPr>
            <w:r/>
            <w:r>
              <w:rPr>
                <w:b/>
                <w:sz w:val="18"/>
              </w:rPr>
              <w:t>类别</w:t>
            </w:r>
          </w:p>
        </w:tc>
        <w:tc>
          <w:tcPr>
            <w:tcW w:type="dxa" w:w="1662"/>
          </w:tcPr>
          <w:p>
            <w:pPr>
              <w:jc w:val="center"/>
            </w:pPr>
            <w:r/>
            <w:r>
              <w:rPr>
                <w:b/>
                <w:sz w:val="18"/>
              </w:rPr>
              <w:t>算法</w:t>
            </w:r>
          </w:p>
        </w:tc>
        <w:tc>
          <w:tcPr>
            <w:tcW w:type="dxa" w:w="1662"/>
          </w:tcPr>
          <w:p>
            <w:pPr>
              <w:jc w:val="center"/>
            </w:pPr>
            <w:r/>
            <w:r>
              <w:rPr>
                <w:b/>
                <w:sz w:val="18"/>
              </w:rPr>
              <w:t>Precision</w:t>
            </w:r>
          </w:p>
        </w:tc>
        <w:tc>
          <w:tcPr>
            <w:tcW w:type="dxa" w:w="1662"/>
          </w:tcPr>
          <w:p>
            <w:pPr>
              <w:jc w:val="center"/>
            </w:pPr>
            <w:r/>
            <w:r>
              <w:rPr>
                <w:b/>
                <w:sz w:val="18"/>
              </w:rPr>
              <w:t>Recall</w:t>
            </w:r>
          </w:p>
        </w:tc>
        <w:tc>
          <w:tcPr>
            <w:tcW w:type="dxa" w:w="1662"/>
          </w:tcPr>
          <w:p>
            <w:pPr>
              <w:jc w:val="center"/>
            </w:pPr>
            <w:r/>
            <w:r>
              <w:rPr>
                <w:b/>
                <w:sz w:val="18"/>
              </w:rPr>
              <w:t>F1</w:t>
            </w:r>
          </w:p>
        </w:tc>
      </w:tr>
      <w:tr>
        <w:tc>
          <w:tcPr>
            <w:tcW w:type="dxa" w:w="1662"/>
          </w:tcPr>
          <w:p>
            <w:pPr>
              <w:jc w:val="center"/>
            </w:pPr>
            <w:r/>
            <w:r>
              <w:rPr>
                <w:sz w:val="18"/>
              </w:rPr>
              <w:t>基线算法</w:t>
            </w:r>
          </w:p>
        </w:tc>
        <w:tc>
          <w:tcPr>
            <w:tcW w:type="dxa" w:w="1662"/>
          </w:tcPr>
          <w:p>
            <w:pPr>
              <w:jc w:val="center"/>
            </w:pPr>
            <w:r/>
            <w:r>
              <w:rPr>
                <w:sz w:val="18"/>
              </w:rPr>
              <w:t>TranAD[3]</w:t>
            </w:r>
          </w:p>
        </w:tc>
        <w:tc>
          <w:tcPr>
            <w:tcW w:type="dxa" w:w="1662"/>
          </w:tcPr>
          <w:p>
            <w:pPr>
              <w:jc w:val="center"/>
            </w:pPr>
            <w:r/>
            <w:r>
              <w:rPr>
                <w:sz w:val="18"/>
              </w:rPr>
              <w:t>0.8889</w:t>
            </w:r>
          </w:p>
        </w:tc>
        <w:tc>
          <w:tcPr>
            <w:tcW w:type="dxa" w:w="1662"/>
          </w:tcPr>
          <w:p>
            <w:pPr>
              <w:jc w:val="center"/>
            </w:pPr>
            <w:r/>
            <w:r>
              <w:rPr>
                <w:sz w:val="18"/>
              </w:rPr>
              <w:t>0.3932</w:t>
            </w:r>
          </w:p>
        </w:tc>
        <w:tc>
          <w:tcPr>
            <w:tcW w:type="dxa" w:w="1662"/>
          </w:tcPr>
          <w:p>
            <w:pPr>
              <w:jc w:val="center"/>
            </w:pPr>
            <w:r/>
            <w:r>
              <w:rPr>
                <w:sz w:val="18"/>
              </w:rPr>
              <w:t>0.5452</w:t>
            </w:r>
          </w:p>
        </w:tc>
      </w:tr>
      <w:tr>
        <w:tc>
          <w:tcPr>
            <w:tcW w:type="dxa" w:w="1662"/>
          </w:tcPr>
          <w:p>
            <w:pPr>
              <w:jc w:val="center"/>
            </w:pPr>
            <w:r/>
            <w:r>
              <w:rPr>
                <w:sz w:val="18"/>
              </w:rPr>
              <w:t>基线算法</w:t>
            </w:r>
          </w:p>
        </w:tc>
        <w:tc>
          <w:tcPr>
            <w:tcW w:type="dxa" w:w="1662"/>
          </w:tcPr>
          <w:p>
            <w:pPr>
              <w:jc w:val="center"/>
            </w:pPr>
            <w:r/>
            <w:r>
              <w:rPr>
                <w:sz w:val="18"/>
              </w:rPr>
              <w:t>USAD[2]</w:t>
            </w:r>
          </w:p>
        </w:tc>
        <w:tc>
          <w:tcPr>
            <w:tcW w:type="dxa" w:w="1662"/>
          </w:tcPr>
          <w:p>
            <w:pPr>
              <w:jc w:val="center"/>
            </w:pPr>
            <w:r/>
            <w:r>
              <w:rPr>
                <w:sz w:val="18"/>
              </w:rPr>
              <w:t>0.6892</w:t>
            </w:r>
          </w:p>
        </w:tc>
        <w:tc>
          <w:tcPr>
            <w:tcW w:type="dxa" w:w="1662"/>
          </w:tcPr>
          <w:p>
            <w:pPr>
              <w:jc w:val="center"/>
            </w:pPr>
            <w:r/>
            <w:r>
              <w:rPr>
                <w:sz w:val="18"/>
              </w:rPr>
              <w:t>0.5567</w:t>
            </w:r>
          </w:p>
        </w:tc>
        <w:tc>
          <w:tcPr>
            <w:tcW w:type="dxa" w:w="1662"/>
          </w:tcPr>
          <w:p>
            <w:pPr>
              <w:jc w:val="center"/>
            </w:pPr>
            <w:r/>
            <w:r>
              <w:rPr>
                <w:sz w:val="18"/>
              </w:rPr>
              <w:t>0.6159</w:t>
            </w:r>
          </w:p>
        </w:tc>
      </w:tr>
      <w:tr>
        <w:tc>
          <w:tcPr>
            <w:tcW w:type="dxa" w:w="1662"/>
          </w:tcPr>
          <w:p>
            <w:pPr>
              <w:jc w:val="center"/>
            </w:pPr>
            <w:r/>
            <w:r>
              <w:rPr>
                <w:sz w:val="18"/>
              </w:rPr>
              <w:t>基线算法</w:t>
            </w:r>
          </w:p>
        </w:tc>
        <w:tc>
          <w:tcPr>
            <w:tcW w:type="dxa" w:w="1662"/>
          </w:tcPr>
          <w:p>
            <w:pPr>
              <w:jc w:val="center"/>
            </w:pPr>
            <w:r/>
            <w:r>
              <w:rPr>
                <w:sz w:val="18"/>
              </w:rPr>
              <w:t>OmniAnomaly[1]</w:t>
            </w:r>
          </w:p>
        </w:tc>
        <w:tc>
          <w:tcPr>
            <w:tcW w:type="dxa" w:w="1662"/>
          </w:tcPr>
          <w:p>
            <w:pPr>
              <w:jc w:val="center"/>
            </w:pPr>
            <w:r/>
            <w:r>
              <w:rPr>
                <w:sz w:val="18"/>
              </w:rPr>
              <w:t>0.6054</w:t>
            </w:r>
          </w:p>
        </w:tc>
        <w:tc>
          <w:tcPr>
            <w:tcW w:type="dxa" w:w="1662"/>
          </w:tcPr>
          <w:p>
            <w:pPr>
              <w:jc w:val="center"/>
            </w:pPr>
            <w:r/>
            <w:r>
              <w:rPr>
                <w:sz w:val="18"/>
              </w:rPr>
              <w:t>0.4593</w:t>
            </w:r>
          </w:p>
        </w:tc>
        <w:tc>
          <w:tcPr>
            <w:tcW w:type="dxa" w:w="1662"/>
          </w:tcPr>
          <w:p>
            <w:pPr>
              <w:jc w:val="center"/>
            </w:pPr>
            <w:r/>
            <w:r>
              <w:rPr>
                <w:sz w:val="18"/>
              </w:rPr>
              <w:t>0.5224</w:t>
            </w:r>
          </w:p>
        </w:tc>
      </w:tr>
      <w:tr>
        <w:tc>
          <w:tcPr>
            <w:tcW w:type="dxa" w:w="1662"/>
          </w:tcPr>
          <w:p>
            <w:pPr>
              <w:jc w:val="center"/>
            </w:pPr>
            <w:r/>
            <w:r>
              <w:rPr>
                <w:sz w:val="18"/>
              </w:rPr>
              <w:t>基线算法</w:t>
            </w:r>
          </w:p>
        </w:tc>
        <w:tc>
          <w:tcPr>
            <w:tcW w:type="dxa" w:w="1662"/>
          </w:tcPr>
          <w:p>
            <w:pPr>
              <w:jc w:val="center"/>
            </w:pPr>
            <w:r/>
            <w:r>
              <w:rPr>
                <w:sz w:val="18"/>
              </w:rPr>
              <w:t>GDN[4]</w:t>
            </w:r>
          </w:p>
        </w:tc>
        <w:tc>
          <w:tcPr>
            <w:tcW w:type="dxa" w:w="1662"/>
          </w:tcPr>
          <w:p>
            <w:pPr>
              <w:jc w:val="center"/>
            </w:pPr>
            <w:r/>
            <w:r>
              <w:rPr>
                <w:sz w:val="18"/>
              </w:rPr>
              <w:t>0.3101</w:t>
            </w:r>
          </w:p>
        </w:tc>
        <w:tc>
          <w:tcPr>
            <w:tcW w:type="dxa" w:w="1662"/>
          </w:tcPr>
          <w:p>
            <w:pPr>
              <w:jc w:val="center"/>
            </w:pPr>
            <w:r/>
            <w:r>
              <w:rPr>
                <w:sz w:val="18"/>
              </w:rPr>
              <w:t>0.5218</w:t>
            </w:r>
          </w:p>
        </w:tc>
        <w:tc>
          <w:tcPr>
            <w:tcW w:type="dxa" w:w="1662"/>
          </w:tcPr>
          <w:p>
            <w:pPr>
              <w:jc w:val="center"/>
            </w:pPr>
            <w:r/>
            <w:r>
              <w:rPr>
                <w:sz w:val="18"/>
              </w:rPr>
              <w:t>0.3890</w:t>
            </w:r>
          </w:p>
        </w:tc>
      </w:tr>
      <w:tr>
        <w:tc>
          <w:tcPr>
            <w:tcW w:type="dxa" w:w="1662"/>
          </w:tcPr>
          <w:p>
            <w:pPr>
              <w:jc w:val="center"/>
            </w:pPr>
            <w:r/>
            <w:r>
              <w:rPr>
                <w:sz w:val="18"/>
              </w:rPr>
              <w:t>基线算法</w:t>
            </w:r>
          </w:p>
        </w:tc>
        <w:tc>
          <w:tcPr>
            <w:tcW w:type="dxa" w:w="1662"/>
          </w:tcPr>
          <w:p>
            <w:pPr>
              <w:jc w:val="center"/>
            </w:pPr>
            <w:r/>
            <w:r>
              <w:rPr>
                <w:sz w:val="18"/>
              </w:rPr>
              <w:t>MAD_GAN[6]</w:t>
            </w:r>
          </w:p>
        </w:tc>
        <w:tc>
          <w:tcPr>
            <w:tcW w:type="dxa" w:w="1662"/>
          </w:tcPr>
          <w:p>
            <w:pPr>
              <w:jc w:val="center"/>
            </w:pPr>
            <w:r/>
            <w:r>
              <w:rPr>
                <w:sz w:val="18"/>
              </w:rPr>
              <w:t>0.6309</w:t>
            </w:r>
          </w:p>
        </w:tc>
        <w:tc>
          <w:tcPr>
            <w:tcW w:type="dxa" w:w="1662"/>
          </w:tcPr>
          <w:p>
            <w:pPr>
              <w:jc w:val="center"/>
            </w:pPr>
            <w:r/>
            <w:r>
              <w:rPr>
                <w:sz w:val="18"/>
              </w:rPr>
              <w:t>0.6309</w:t>
            </w:r>
          </w:p>
        </w:tc>
        <w:tc>
          <w:tcPr>
            <w:tcW w:type="dxa" w:w="1662"/>
          </w:tcPr>
          <w:p>
            <w:pPr>
              <w:jc w:val="center"/>
            </w:pPr>
            <w:r/>
            <w:r>
              <w:rPr>
                <w:sz w:val="18"/>
              </w:rPr>
              <w:t>0.6891</w:t>
            </w:r>
          </w:p>
        </w:tc>
      </w:tr>
      <w:tr>
        <w:tc>
          <w:tcPr>
            <w:tcW w:type="dxa" w:w="1662"/>
          </w:tcPr>
          <w:p>
            <w:pPr>
              <w:jc w:val="center"/>
            </w:pPr>
            <w:r/>
            <w:r>
              <w:rPr>
                <w:sz w:val="18"/>
              </w:rPr>
              <w:t>基线算法</w:t>
            </w:r>
          </w:p>
        </w:tc>
        <w:tc>
          <w:tcPr>
            <w:tcW w:type="dxa" w:w="1662"/>
          </w:tcPr>
          <w:p>
            <w:pPr>
              <w:jc w:val="center"/>
            </w:pPr>
            <w:r/>
            <w:r>
              <w:rPr>
                <w:sz w:val="18"/>
              </w:rPr>
              <w:t>MTAD_GAT[5]</w:t>
            </w:r>
          </w:p>
        </w:tc>
        <w:tc>
          <w:tcPr>
            <w:tcW w:type="dxa" w:w="1662"/>
          </w:tcPr>
          <w:p>
            <w:pPr>
              <w:jc w:val="center"/>
            </w:pPr>
            <w:r/>
            <w:r>
              <w:rPr>
                <w:sz w:val="18"/>
              </w:rPr>
              <w:t>0.3492</w:t>
            </w:r>
          </w:p>
        </w:tc>
        <w:tc>
          <w:tcPr>
            <w:tcW w:type="dxa" w:w="1662"/>
          </w:tcPr>
          <w:p>
            <w:pPr>
              <w:jc w:val="center"/>
            </w:pPr>
            <w:r/>
            <w:r>
              <w:rPr>
                <w:sz w:val="18"/>
              </w:rPr>
              <w:t>0.1573</w:t>
            </w:r>
          </w:p>
        </w:tc>
        <w:tc>
          <w:tcPr>
            <w:tcW w:type="dxa" w:w="1662"/>
          </w:tcPr>
          <w:p>
            <w:pPr>
              <w:jc w:val="center"/>
            </w:pPr>
            <w:r/>
            <w:r>
              <w:rPr>
                <w:sz w:val="18"/>
              </w:rPr>
              <w:t>0.2169</w:t>
            </w:r>
          </w:p>
        </w:tc>
      </w:tr>
      <w:tr>
        <w:tc>
          <w:tcPr>
            <w:tcW w:type="dxa" w:w="1662"/>
          </w:tcPr>
          <w:p>
            <w:pPr>
              <w:jc w:val="center"/>
            </w:pPr>
            <w:r/>
            <w:r>
              <w:rPr>
                <w:sz w:val="18"/>
              </w:rPr>
              <w:t>相似性算法（最优阈值）</w:t>
            </w:r>
          </w:p>
        </w:tc>
        <w:tc>
          <w:tcPr>
            <w:tcW w:type="dxa" w:w="1662"/>
          </w:tcPr>
          <w:p>
            <w:pPr>
              <w:jc w:val="center"/>
            </w:pPr>
            <w:r/>
            <w:r>
              <w:rPr>
                <w:sz w:val="18"/>
              </w:rPr>
              <w:t>欧氏距离</w:t>
            </w:r>
          </w:p>
        </w:tc>
        <w:tc>
          <w:tcPr>
            <w:tcW w:type="dxa" w:w="1662"/>
          </w:tcPr>
          <w:p>
            <w:pPr>
              <w:jc w:val="center"/>
            </w:pPr>
            <w:r/>
            <w:r>
              <w:rPr>
                <w:sz w:val="18"/>
              </w:rPr>
              <w:t>0.9826</w:t>
            </w:r>
          </w:p>
        </w:tc>
        <w:tc>
          <w:tcPr>
            <w:tcW w:type="dxa" w:w="1662"/>
          </w:tcPr>
          <w:p>
            <w:pPr>
              <w:jc w:val="center"/>
            </w:pPr>
            <w:r/>
            <w:r>
              <w:rPr>
                <w:sz w:val="18"/>
              </w:rPr>
              <w:t>0.9657</w:t>
            </w:r>
          </w:p>
        </w:tc>
        <w:tc>
          <w:tcPr>
            <w:tcW w:type="dxa" w:w="1662"/>
          </w:tcPr>
          <w:p>
            <w:pPr>
              <w:jc w:val="center"/>
            </w:pPr>
            <w:r/>
            <w:r>
              <w:rPr>
                <w:sz w:val="18"/>
              </w:rPr>
              <w:t>0.9741</w:t>
            </w:r>
          </w:p>
        </w:tc>
      </w:tr>
      <w:tr>
        <w:tc>
          <w:tcPr>
            <w:tcW w:type="dxa" w:w="1662"/>
          </w:tcPr>
          <w:p>
            <w:pPr>
              <w:jc w:val="center"/>
            </w:pPr>
            <w:r/>
            <w:r>
              <w:rPr>
                <w:sz w:val="18"/>
              </w:rPr>
              <w:t>相似性算法（最优阈值）</w:t>
            </w:r>
          </w:p>
        </w:tc>
        <w:tc>
          <w:tcPr>
            <w:tcW w:type="dxa" w:w="1662"/>
          </w:tcPr>
          <w:p>
            <w:pPr>
              <w:jc w:val="center"/>
            </w:pPr>
            <w:r/>
            <w:r>
              <w:rPr>
                <w:sz w:val="18"/>
              </w:rPr>
              <w:t>自编码器嵌入</w:t>
            </w:r>
          </w:p>
        </w:tc>
        <w:tc>
          <w:tcPr>
            <w:tcW w:type="dxa" w:w="1662"/>
          </w:tcPr>
          <w:p>
            <w:pPr>
              <w:jc w:val="center"/>
            </w:pPr>
            <w:r/>
            <w:r>
              <w:rPr>
                <w:sz w:val="18"/>
              </w:rPr>
              <w:t>0.9792</w:t>
            </w:r>
          </w:p>
        </w:tc>
        <w:tc>
          <w:tcPr>
            <w:tcW w:type="dxa" w:w="1662"/>
          </w:tcPr>
          <w:p>
            <w:pPr>
              <w:jc w:val="center"/>
            </w:pPr>
            <w:r/>
            <w:r>
              <w:rPr>
                <w:sz w:val="18"/>
              </w:rPr>
              <w:t>0.9592</w:t>
            </w:r>
          </w:p>
        </w:tc>
        <w:tc>
          <w:tcPr>
            <w:tcW w:type="dxa" w:w="1662"/>
          </w:tcPr>
          <w:p>
            <w:pPr>
              <w:jc w:val="center"/>
            </w:pPr>
            <w:r/>
            <w:r>
              <w:rPr>
                <w:sz w:val="18"/>
              </w:rPr>
              <w:t>0.9691</w:t>
            </w:r>
          </w:p>
        </w:tc>
      </w:tr>
      <w:tr>
        <w:tc>
          <w:tcPr>
            <w:tcW w:type="dxa" w:w="1662"/>
          </w:tcPr>
          <w:p>
            <w:pPr>
              <w:jc w:val="center"/>
            </w:pPr>
            <w:r/>
            <w:r>
              <w:rPr>
                <w:sz w:val="18"/>
              </w:rPr>
              <w:t>相似性算法（最优阈值）</w:t>
            </w:r>
          </w:p>
        </w:tc>
        <w:tc>
          <w:tcPr>
            <w:tcW w:type="dxa" w:w="1662"/>
          </w:tcPr>
          <w:p>
            <w:pPr>
              <w:jc w:val="center"/>
            </w:pPr>
            <w:r/>
            <w:r>
              <w:rPr>
                <w:sz w:val="18"/>
              </w:rPr>
              <w:t>密度偏离</w:t>
            </w:r>
          </w:p>
        </w:tc>
        <w:tc>
          <w:tcPr>
            <w:tcW w:type="dxa" w:w="1662"/>
          </w:tcPr>
          <w:p>
            <w:pPr>
              <w:jc w:val="center"/>
            </w:pPr>
            <w:r/>
            <w:r>
              <w:rPr>
                <w:sz w:val="18"/>
              </w:rPr>
              <w:t>0.9605</w:t>
            </w:r>
          </w:p>
        </w:tc>
        <w:tc>
          <w:tcPr>
            <w:tcW w:type="dxa" w:w="1662"/>
          </w:tcPr>
          <w:p>
            <w:pPr>
              <w:jc w:val="center"/>
            </w:pPr>
            <w:r/>
            <w:r>
              <w:rPr>
                <w:sz w:val="18"/>
              </w:rPr>
              <w:t>0.9659</w:t>
            </w:r>
          </w:p>
        </w:tc>
        <w:tc>
          <w:tcPr>
            <w:tcW w:type="dxa" w:w="1662"/>
          </w:tcPr>
          <w:p>
            <w:pPr>
              <w:jc w:val="center"/>
            </w:pPr>
            <w:r/>
            <w:r>
              <w:rPr>
                <w:sz w:val="18"/>
              </w:rPr>
              <w:t>0.9632</w:t>
            </w:r>
          </w:p>
        </w:tc>
      </w:tr>
      <w:tr>
        <w:tc>
          <w:tcPr>
            <w:tcW w:type="dxa" w:w="1662"/>
          </w:tcPr>
          <w:p>
            <w:pPr>
              <w:jc w:val="center"/>
            </w:pPr>
            <w:r/>
            <w:r>
              <w:rPr>
                <w:sz w:val="18"/>
              </w:rPr>
              <w:t>本文框架</w:t>
            </w:r>
          </w:p>
        </w:tc>
        <w:tc>
          <w:tcPr>
            <w:tcW w:type="dxa" w:w="1662"/>
          </w:tcPr>
          <w:p>
            <w:pPr>
              <w:jc w:val="center"/>
            </w:pPr>
            <w:r/>
            <w:r>
              <w:rPr>
                <w:sz w:val="18"/>
              </w:rPr>
              <w:t>CSAD-AT</w:t>
            </w:r>
          </w:p>
        </w:tc>
        <w:tc>
          <w:tcPr>
            <w:tcW w:type="dxa" w:w="1662"/>
          </w:tcPr>
          <w:p>
            <w:pPr>
              <w:jc w:val="center"/>
            </w:pPr>
            <w:r/>
            <w:r>
              <w:rPr>
                <w:sz w:val="18"/>
              </w:rPr>
              <w:t>1.0000</w:t>
            </w:r>
          </w:p>
        </w:tc>
        <w:tc>
          <w:tcPr>
            <w:tcW w:type="dxa" w:w="1662"/>
          </w:tcPr>
          <w:p>
            <w:pPr>
              <w:jc w:val="center"/>
            </w:pPr>
            <w:r/>
            <w:r>
              <w:rPr>
                <w:sz w:val="18"/>
              </w:rPr>
              <w:t>0.9732</w:t>
            </w:r>
          </w:p>
        </w:tc>
        <w:tc>
          <w:tcPr>
            <w:tcW w:type="dxa" w:w="1662"/>
          </w:tcPr>
          <w:p>
            <w:pPr>
              <w:jc w:val="center"/>
            </w:pPr>
            <w:r/>
            <w:r>
              <w:rPr>
                <w:sz w:val="18"/>
              </w:rPr>
              <w:t>0.9864</w:t>
            </w:r>
          </w:p>
        </w:tc>
      </w:tr>
    </w:tbl>
    <w:p/>
    <w:p>
      <w:pPr>
        <w:spacing w:line="300" w:lineRule="auto"/>
        <w:ind w:firstLine="420"/>
      </w:pPr>
      <w:r>
        <w:rPr>
          <w:sz w:val="21"/>
        </w:rPr>
        <w:t>CSAD-AT框架在无需人工阈值调整的条件下，F1分数达到0.9864，优于各评分方法在最优阈值下的性能，且显著优于所有基线算法。这证明分数聚合与I-SPOT自适应阈值的组合能够有效替代基于标注数据的人工调参过程。</w:t>
      </w:r>
    </w:p>
    <w:p>
      <w:pPr>
        <w:spacing w:before="200" w:after="80"/>
      </w:pPr>
      <w:r>
        <w:rPr>
          <w:b/>
          <w:sz w:val="24"/>
        </w:rPr>
        <w:t>5.3 分数聚合策略对比</w:t>
      </w:r>
    </w:p>
    <w:p>
      <w:pPr>
        <w:spacing w:line="300" w:lineRule="auto"/>
        <w:ind w:firstLine="420"/>
      </w:pPr>
      <w:r>
        <w:rPr>
          <w:sz w:val="21"/>
        </w:rPr>
        <w:t>为验证所选分数聚合策略的有效性，对比了不同归一化方法与聚合策略的组合，实验结果如表4所示。</w:t>
      </w:r>
    </w:p>
    <w:p>
      <w:pPr>
        <w:spacing w:before="160" w:after="0"/>
        <w:jc w:val="center"/>
      </w:pPr>
      <w:r>
        <w:rPr>
          <w:b/>
          <w:sz w:val="18"/>
        </w:rPr>
        <w:t>表4 不同分数聚合策略的性能对比</w:t>
      </w:r>
    </w:p>
    <w:p>
      <w:pPr>
        <w:spacing w:before="0" w:after="80"/>
        <w:jc w:val="center"/>
      </w:pPr>
      <w:r>
        <w:rPr>
          <w:sz w:val="18"/>
        </w:rPr>
        <w:t>Table 4 Performance comparison of different score aggregation strategies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62"/>
        <w:gridCol w:w="1662"/>
        <w:gridCol w:w="1662"/>
        <w:gridCol w:w="1662"/>
        <w:gridCol w:w="1662"/>
      </w:tblGrid>
      <w:tr>
        <w:tc>
          <w:tcPr>
            <w:tcW w:type="dxa" w:w="1662"/>
          </w:tcPr>
          <w:p>
            <w:pPr>
              <w:jc w:val="center"/>
            </w:pPr>
            <w:r/>
            <w:r>
              <w:rPr>
                <w:b/>
                <w:sz w:val="18"/>
              </w:rPr>
              <w:t>归一化</w:t>
            </w:r>
          </w:p>
        </w:tc>
        <w:tc>
          <w:tcPr>
            <w:tcW w:type="dxa" w:w="1662"/>
          </w:tcPr>
          <w:p>
            <w:pPr>
              <w:jc w:val="center"/>
            </w:pPr>
            <w:r/>
            <w:r>
              <w:rPr>
                <w:b/>
                <w:sz w:val="18"/>
              </w:rPr>
              <w:t>聚合策略</w:t>
            </w:r>
          </w:p>
        </w:tc>
        <w:tc>
          <w:tcPr>
            <w:tcW w:type="dxa" w:w="1662"/>
          </w:tcPr>
          <w:p>
            <w:pPr>
              <w:jc w:val="center"/>
            </w:pPr>
            <w:r/>
            <w:r>
              <w:rPr>
                <w:b/>
                <w:sz w:val="18"/>
              </w:rPr>
              <w:t>Precision</w:t>
            </w:r>
          </w:p>
        </w:tc>
        <w:tc>
          <w:tcPr>
            <w:tcW w:type="dxa" w:w="1662"/>
          </w:tcPr>
          <w:p>
            <w:pPr>
              <w:jc w:val="center"/>
            </w:pPr>
            <w:r/>
            <w:r>
              <w:rPr>
                <w:b/>
                <w:sz w:val="18"/>
              </w:rPr>
              <w:t>Recall</w:t>
            </w:r>
          </w:p>
        </w:tc>
        <w:tc>
          <w:tcPr>
            <w:tcW w:type="dxa" w:w="1662"/>
          </w:tcPr>
          <w:p>
            <w:pPr>
              <w:jc w:val="center"/>
            </w:pPr>
            <w:r/>
            <w:r>
              <w:rPr>
                <w:b/>
                <w:sz w:val="18"/>
              </w:rPr>
              <w:t>F1</w:t>
            </w:r>
          </w:p>
        </w:tc>
      </w:tr>
      <w:tr>
        <w:tc>
          <w:tcPr>
            <w:tcW w:type="dxa" w:w="1662"/>
          </w:tcPr>
          <w:p>
            <w:pPr>
              <w:jc w:val="center"/>
            </w:pPr>
            <w:r/>
            <w:r>
              <w:rPr>
                <w:sz w:val="18"/>
              </w:rPr>
              <w:t>Z-score</w:t>
            </w:r>
          </w:p>
        </w:tc>
        <w:tc>
          <w:tcPr>
            <w:tcW w:type="dxa" w:w="1662"/>
          </w:tcPr>
          <w:p>
            <w:pPr>
              <w:jc w:val="center"/>
            </w:pPr>
            <w:r/>
            <w:r>
              <w:rPr>
                <w:sz w:val="18"/>
              </w:rPr>
              <w:t>加权平均</w:t>
            </w:r>
          </w:p>
        </w:tc>
        <w:tc>
          <w:tcPr>
            <w:tcW w:type="dxa" w:w="1662"/>
          </w:tcPr>
          <w:p>
            <w:pPr>
              <w:jc w:val="center"/>
            </w:pPr>
            <w:r/>
            <w:r>
              <w:rPr>
                <w:sz w:val="18"/>
              </w:rPr>
              <w:t>0.9157</w:t>
            </w:r>
          </w:p>
        </w:tc>
        <w:tc>
          <w:tcPr>
            <w:tcW w:type="dxa" w:w="1662"/>
          </w:tcPr>
          <w:p>
            <w:pPr>
              <w:jc w:val="center"/>
            </w:pPr>
            <w:r/>
            <w:r>
              <w:rPr>
                <w:sz w:val="18"/>
              </w:rPr>
              <w:t>0.9806</w:t>
            </w:r>
          </w:p>
        </w:tc>
        <w:tc>
          <w:tcPr>
            <w:tcW w:type="dxa" w:w="1662"/>
          </w:tcPr>
          <w:p>
            <w:pPr>
              <w:jc w:val="center"/>
            </w:pPr>
            <w:r/>
            <w:r>
              <w:rPr>
                <w:sz w:val="18"/>
              </w:rPr>
              <w:t>0.9470</w:t>
            </w:r>
          </w:p>
        </w:tc>
      </w:tr>
      <w:tr>
        <w:tc>
          <w:tcPr>
            <w:tcW w:type="dxa" w:w="1662"/>
          </w:tcPr>
          <w:p>
            <w:pPr>
              <w:jc w:val="center"/>
            </w:pPr>
            <w:r/>
            <w:r>
              <w:rPr>
                <w:sz w:val="18"/>
              </w:rPr>
              <w:t>MinMax</w:t>
            </w:r>
          </w:p>
        </w:tc>
        <w:tc>
          <w:tcPr>
            <w:tcW w:type="dxa" w:w="1662"/>
          </w:tcPr>
          <w:p>
            <w:pPr>
              <w:jc w:val="center"/>
            </w:pPr>
            <w:r/>
            <w:r>
              <w:rPr>
                <w:sz w:val="18"/>
              </w:rPr>
              <w:t>最大值</w:t>
            </w:r>
          </w:p>
        </w:tc>
        <w:tc>
          <w:tcPr>
            <w:tcW w:type="dxa" w:w="1662"/>
          </w:tcPr>
          <w:p>
            <w:pPr>
              <w:jc w:val="center"/>
            </w:pPr>
            <w:r/>
            <w:r>
              <w:rPr>
                <w:sz w:val="18"/>
              </w:rPr>
              <w:t>1.0000</w:t>
            </w:r>
          </w:p>
        </w:tc>
        <w:tc>
          <w:tcPr>
            <w:tcW w:type="dxa" w:w="1662"/>
          </w:tcPr>
          <w:p>
            <w:pPr>
              <w:jc w:val="center"/>
            </w:pPr>
            <w:r/>
            <w:r>
              <w:rPr>
                <w:sz w:val="18"/>
              </w:rPr>
              <w:t>0.8426</w:t>
            </w:r>
          </w:p>
        </w:tc>
        <w:tc>
          <w:tcPr>
            <w:tcW w:type="dxa" w:w="1662"/>
          </w:tcPr>
          <w:p>
            <w:pPr>
              <w:jc w:val="center"/>
            </w:pPr>
            <w:r/>
            <w:r>
              <w:rPr>
                <w:sz w:val="18"/>
              </w:rPr>
              <w:t>0.9146</w:t>
            </w:r>
          </w:p>
        </w:tc>
      </w:tr>
      <w:tr>
        <w:tc>
          <w:tcPr>
            <w:tcW w:type="dxa" w:w="1662"/>
          </w:tcPr>
          <w:p>
            <w:pPr>
              <w:jc w:val="center"/>
            </w:pPr>
            <w:r/>
            <w:r>
              <w:rPr>
                <w:sz w:val="18"/>
              </w:rPr>
              <w:t>MinMax</w:t>
            </w:r>
          </w:p>
        </w:tc>
        <w:tc>
          <w:tcPr>
            <w:tcW w:type="dxa" w:w="1662"/>
          </w:tcPr>
          <w:p>
            <w:pPr>
              <w:jc w:val="center"/>
            </w:pPr>
            <w:r/>
            <w:r>
              <w:rPr>
                <w:sz w:val="18"/>
              </w:rPr>
              <w:t>投票</w:t>
            </w:r>
          </w:p>
        </w:tc>
        <w:tc>
          <w:tcPr>
            <w:tcW w:type="dxa" w:w="1662"/>
          </w:tcPr>
          <w:p>
            <w:pPr>
              <w:jc w:val="center"/>
            </w:pPr>
            <w:r/>
            <w:r>
              <w:rPr>
                <w:sz w:val="18"/>
              </w:rPr>
              <w:t>0.9831</w:t>
            </w:r>
          </w:p>
        </w:tc>
        <w:tc>
          <w:tcPr>
            <w:tcW w:type="dxa" w:w="1662"/>
          </w:tcPr>
          <w:p>
            <w:pPr>
              <w:jc w:val="center"/>
            </w:pPr>
            <w:r/>
            <w:r>
              <w:rPr>
                <w:sz w:val="18"/>
              </w:rPr>
              <w:t>0.9587</w:t>
            </w:r>
          </w:p>
        </w:tc>
        <w:tc>
          <w:tcPr>
            <w:tcW w:type="dxa" w:w="1662"/>
          </w:tcPr>
          <w:p>
            <w:pPr>
              <w:jc w:val="center"/>
            </w:pPr>
            <w:r/>
            <w:r>
              <w:rPr>
                <w:sz w:val="18"/>
              </w:rPr>
              <w:t>0.9707</w:t>
            </w:r>
          </w:p>
        </w:tc>
      </w:tr>
      <w:tr>
        <w:tc>
          <w:tcPr>
            <w:tcW w:type="dxa" w:w="1662"/>
          </w:tcPr>
          <w:p>
            <w:pPr>
              <w:jc w:val="center"/>
            </w:pPr>
            <w:r/>
            <w:r>
              <w:rPr>
                <w:sz w:val="18"/>
              </w:rPr>
              <w:t>MinMax</w:t>
            </w:r>
          </w:p>
        </w:tc>
        <w:tc>
          <w:tcPr>
            <w:tcW w:type="dxa" w:w="1662"/>
          </w:tcPr>
          <w:p>
            <w:pPr>
              <w:jc w:val="center"/>
            </w:pPr>
            <w:r/>
            <w:r>
              <w:rPr>
                <w:sz w:val="18"/>
              </w:rPr>
              <w:t>加权平均</w:t>
            </w:r>
          </w:p>
        </w:tc>
        <w:tc>
          <w:tcPr>
            <w:tcW w:type="dxa" w:w="1662"/>
          </w:tcPr>
          <w:p>
            <w:pPr>
              <w:jc w:val="center"/>
            </w:pPr>
            <w:r/>
            <w:r>
              <w:rPr>
                <w:sz w:val="18"/>
              </w:rPr>
              <w:t>1.0000</w:t>
            </w:r>
          </w:p>
        </w:tc>
        <w:tc>
          <w:tcPr>
            <w:tcW w:type="dxa" w:w="1662"/>
          </w:tcPr>
          <w:p>
            <w:pPr>
              <w:jc w:val="center"/>
            </w:pPr>
            <w:r/>
            <w:r>
              <w:rPr>
                <w:sz w:val="18"/>
              </w:rPr>
              <w:t>0.9732</w:t>
            </w:r>
          </w:p>
        </w:tc>
        <w:tc>
          <w:tcPr>
            <w:tcW w:type="dxa" w:w="1662"/>
          </w:tcPr>
          <w:p>
            <w:pPr>
              <w:jc w:val="center"/>
            </w:pPr>
            <w:r/>
            <w:r>
              <w:rPr>
                <w:sz w:val="18"/>
              </w:rPr>
              <w:t>0.9864</w:t>
            </w:r>
          </w:p>
        </w:tc>
      </w:tr>
    </w:tbl>
    <w:p/>
    <w:p>
      <w:pPr>
        <w:spacing w:line="300" w:lineRule="auto"/>
        <w:ind w:firstLine="420"/>
      </w:pPr>
      <w:r>
        <w:rPr>
          <w:sz w:val="21"/>
        </w:rPr>
        <w:t>MinMax归一化在所有聚合策略下均优于Z-score归一化，MinMax加权平均以0.9864的F1分数取得最优性能。最大值策略的召回率仅有0.8426，说明仅取单方法最高分容易受偶然高分干扰；投票策略虽然鲁棒，但其离散化决策损失了连续分数信息。</w:t>
      </w:r>
    </w:p>
    <w:p>
      <w:pPr>
        <w:spacing w:before="200" w:after="80"/>
      </w:pPr>
      <w:r>
        <w:rPr>
          <w:b/>
          <w:sz w:val="24"/>
        </w:rPr>
        <w:t>5.4 消融实验</w:t>
      </w:r>
    </w:p>
    <w:p>
      <w:pPr>
        <w:spacing w:line="300" w:lineRule="auto"/>
        <w:ind w:firstLine="420"/>
      </w:pPr>
      <w:r>
        <w:rPr>
          <w:sz w:val="21"/>
        </w:rPr>
        <w:t>为分析三种评分方法的各自贡献，将每种方法单独与I-SPOT结合进行检测，实验结果如表5所示。</w:t>
      </w:r>
    </w:p>
    <w:p>
      <w:pPr>
        <w:spacing w:before="160" w:after="0"/>
        <w:jc w:val="center"/>
      </w:pPr>
      <w:r>
        <w:rPr>
          <w:b/>
          <w:sz w:val="18"/>
        </w:rPr>
        <w:t>表5 消融实验：各评分方法与I-SPOT结合的性能</w:t>
      </w:r>
    </w:p>
    <w:p>
      <w:pPr>
        <w:spacing w:before="0" w:after="80"/>
        <w:jc w:val="center"/>
      </w:pPr>
      <w:r>
        <w:rPr>
          <w:sz w:val="18"/>
        </w:rPr>
        <w:t>Table 5 Ablation study: performance of each scoring method combined with I-SPOT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c>
          <w:tcPr>
            <w:tcW w:type="dxa" w:w="2078"/>
          </w:tcPr>
          <w:p>
            <w:pPr>
              <w:jc w:val="center"/>
            </w:pPr>
            <w:r/>
            <w:r>
              <w:rPr>
                <w:b/>
                <w:sz w:val="18"/>
              </w:rPr>
              <w:t>检测配置</w:t>
            </w:r>
          </w:p>
        </w:tc>
        <w:tc>
          <w:tcPr>
            <w:tcW w:type="dxa" w:w="2078"/>
          </w:tcPr>
          <w:p>
            <w:pPr>
              <w:jc w:val="center"/>
            </w:pPr>
            <w:r/>
            <w:r>
              <w:rPr>
                <w:b/>
                <w:sz w:val="18"/>
              </w:rPr>
              <w:t>Precision</w:t>
            </w:r>
          </w:p>
        </w:tc>
        <w:tc>
          <w:tcPr>
            <w:tcW w:type="dxa" w:w="2078"/>
          </w:tcPr>
          <w:p>
            <w:pPr>
              <w:jc w:val="center"/>
            </w:pPr>
            <w:r/>
            <w:r>
              <w:rPr>
                <w:b/>
                <w:sz w:val="18"/>
              </w:rPr>
              <w:t>Recall</w:t>
            </w:r>
          </w:p>
        </w:tc>
        <w:tc>
          <w:tcPr>
            <w:tcW w:type="dxa" w:w="2078"/>
          </w:tcPr>
          <w:p>
            <w:pPr>
              <w:jc w:val="center"/>
            </w:pPr>
            <w:r/>
            <w:r>
              <w:rPr>
                <w:b/>
                <w:sz w:val="18"/>
              </w:rPr>
              <w:t>F1</w:t>
            </w:r>
          </w:p>
        </w:tc>
      </w:tr>
      <w:tr>
        <w:tc>
          <w:tcPr>
            <w:tcW w:type="dxa" w:w="2078"/>
          </w:tcPr>
          <w:p>
            <w:pPr>
              <w:jc w:val="center"/>
            </w:pPr>
            <w:r/>
            <w:r>
              <w:rPr>
                <w:sz w:val="18"/>
              </w:rPr>
              <w:t>欧氏距离 + I-SPOT</w:t>
            </w:r>
          </w:p>
        </w:tc>
        <w:tc>
          <w:tcPr>
            <w:tcW w:type="dxa" w:w="2078"/>
          </w:tcPr>
          <w:p>
            <w:pPr>
              <w:jc w:val="center"/>
            </w:pPr>
            <w:r/>
            <w:r>
              <w:rPr>
                <w:sz w:val="18"/>
              </w:rPr>
              <w:t>1.0000</w:t>
            </w:r>
          </w:p>
        </w:tc>
        <w:tc>
          <w:tcPr>
            <w:tcW w:type="dxa" w:w="2078"/>
          </w:tcPr>
          <w:p>
            <w:pPr>
              <w:jc w:val="center"/>
            </w:pPr>
            <w:r/>
            <w:r>
              <w:rPr>
                <w:sz w:val="18"/>
              </w:rPr>
              <w:t>0.9187</w:t>
            </w:r>
          </w:p>
        </w:tc>
        <w:tc>
          <w:tcPr>
            <w:tcW w:type="dxa" w:w="2078"/>
          </w:tcPr>
          <w:p>
            <w:pPr>
              <w:jc w:val="center"/>
            </w:pPr>
            <w:r/>
            <w:r>
              <w:rPr>
                <w:sz w:val="18"/>
              </w:rPr>
              <w:t>0.9576</w:t>
            </w:r>
          </w:p>
        </w:tc>
      </w:tr>
      <w:tr>
        <w:tc>
          <w:tcPr>
            <w:tcW w:type="dxa" w:w="2078"/>
          </w:tcPr>
          <w:p>
            <w:pPr>
              <w:jc w:val="center"/>
            </w:pPr>
            <w:r/>
            <w:r>
              <w:rPr>
                <w:sz w:val="18"/>
              </w:rPr>
              <w:t>自编码器嵌入 + I-SPOT</w:t>
            </w:r>
          </w:p>
        </w:tc>
        <w:tc>
          <w:tcPr>
            <w:tcW w:type="dxa" w:w="2078"/>
          </w:tcPr>
          <w:p>
            <w:pPr>
              <w:jc w:val="center"/>
            </w:pPr>
            <w:r/>
            <w:r>
              <w:rPr>
                <w:sz w:val="18"/>
              </w:rPr>
              <w:t>0.9891</w:t>
            </w:r>
          </w:p>
        </w:tc>
        <w:tc>
          <w:tcPr>
            <w:tcW w:type="dxa" w:w="2078"/>
          </w:tcPr>
          <w:p>
            <w:pPr>
              <w:jc w:val="center"/>
            </w:pPr>
            <w:r/>
            <w:r>
              <w:rPr>
                <w:sz w:val="18"/>
              </w:rPr>
              <w:t>0.8667</w:t>
            </w:r>
          </w:p>
        </w:tc>
        <w:tc>
          <w:tcPr>
            <w:tcW w:type="dxa" w:w="2078"/>
          </w:tcPr>
          <w:p>
            <w:pPr>
              <w:jc w:val="center"/>
            </w:pPr>
            <w:r/>
            <w:r>
              <w:rPr>
                <w:sz w:val="18"/>
              </w:rPr>
              <w:t>0.9239</w:t>
            </w:r>
          </w:p>
        </w:tc>
      </w:tr>
      <w:tr>
        <w:tc>
          <w:tcPr>
            <w:tcW w:type="dxa" w:w="2078"/>
          </w:tcPr>
          <w:p>
            <w:pPr>
              <w:jc w:val="center"/>
            </w:pPr>
            <w:r/>
            <w:r>
              <w:rPr>
                <w:sz w:val="18"/>
              </w:rPr>
              <w:t>密度偏离 + I-SPOT</w:t>
            </w:r>
          </w:p>
        </w:tc>
        <w:tc>
          <w:tcPr>
            <w:tcW w:type="dxa" w:w="2078"/>
          </w:tcPr>
          <w:p>
            <w:pPr>
              <w:jc w:val="center"/>
            </w:pPr>
            <w:r/>
            <w:r>
              <w:rPr>
                <w:sz w:val="18"/>
              </w:rPr>
              <w:t>1.0000</w:t>
            </w:r>
          </w:p>
        </w:tc>
        <w:tc>
          <w:tcPr>
            <w:tcW w:type="dxa" w:w="2078"/>
          </w:tcPr>
          <w:p>
            <w:pPr>
              <w:jc w:val="center"/>
            </w:pPr>
            <w:r/>
            <w:r>
              <w:rPr>
                <w:sz w:val="18"/>
              </w:rPr>
              <w:t>0.8917</w:t>
            </w:r>
          </w:p>
        </w:tc>
        <w:tc>
          <w:tcPr>
            <w:tcW w:type="dxa" w:w="2078"/>
          </w:tcPr>
          <w:p>
            <w:pPr>
              <w:jc w:val="center"/>
            </w:pPr>
            <w:r/>
            <w:r>
              <w:rPr>
                <w:sz w:val="18"/>
              </w:rPr>
              <w:t>0.9427</w:t>
            </w:r>
          </w:p>
        </w:tc>
      </w:tr>
      <w:tr>
        <w:tc>
          <w:tcPr>
            <w:tcW w:type="dxa" w:w="2078"/>
          </w:tcPr>
          <w:p>
            <w:pPr>
              <w:jc w:val="center"/>
            </w:pPr>
            <w:r/>
            <w:r>
              <w:rPr>
                <w:sz w:val="18"/>
              </w:rPr>
              <w:t>CSAD-AT（三种融合）</w:t>
            </w:r>
          </w:p>
        </w:tc>
        <w:tc>
          <w:tcPr>
            <w:tcW w:type="dxa" w:w="2078"/>
          </w:tcPr>
          <w:p>
            <w:pPr>
              <w:jc w:val="center"/>
            </w:pPr>
            <w:r/>
            <w:r>
              <w:rPr>
                <w:sz w:val="18"/>
              </w:rPr>
              <w:t>1.0000</w:t>
            </w:r>
          </w:p>
        </w:tc>
        <w:tc>
          <w:tcPr>
            <w:tcW w:type="dxa" w:w="2078"/>
          </w:tcPr>
          <w:p>
            <w:pPr>
              <w:jc w:val="center"/>
            </w:pPr>
            <w:r/>
            <w:r>
              <w:rPr>
                <w:sz w:val="18"/>
              </w:rPr>
              <w:t>0.9732</w:t>
            </w:r>
          </w:p>
        </w:tc>
        <w:tc>
          <w:tcPr>
            <w:tcW w:type="dxa" w:w="2078"/>
          </w:tcPr>
          <w:p>
            <w:pPr>
              <w:jc w:val="center"/>
            </w:pPr>
            <w:r/>
            <w:r>
              <w:rPr>
                <w:sz w:val="18"/>
              </w:rPr>
              <w:t>0.9864</w:t>
            </w:r>
          </w:p>
        </w:tc>
      </w:tr>
    </w:tbl>
    <w:p/>
    <w:p>
      <w:pPr>
        <w:spacing w:line="300" w:lineRule="auto"/>
        <w:ind w:firstLine="420"/>
      </w:pPr>
      <w:r>
        <w:rPr>
          <w:sz w:val="21"/>
        </w:rPr>
        <w:t>每种方法单独与I-SPOT结合均能取得较好效果（F1&gt;0.92），完整的三方法融合方案F1分数达到0.9864，显著优于任何单一方法。特别是召回率从0.9187提升至0.9732，说明三种方法形成了有效互补：欧氏距离捕捉数值幅度偏离，自编码器嵌入识别形态模式异常，密度偏离发现局部孤立型异常。</w:t>
      </w:r>
    </w:p>
    <w:p>
      <w:pPr>
        <w:spacing w:before="200" w:after="80"/>
      </w:pPr>
      <w:r>
        <w:rPr>
          <w:b/>
          <w:sz w:val="24"/>
        </w:rPr>
        <w:t>5.5 I-SPOT与经典SPOT对比</w:t>
      </w:r>
    </w:p>
    <w:p>
      <w:pPr>
        <w:spacing w:line="300" w:lineRule="auto"/>
        <w:ind w:firstLine="420"/>
      </w:pPr>
      <w:r>
        <w:rPr>
          <w:sz w:val="21"/>
        </w:rPr>
        <w:t>为验证I-SPOT的改进效果，在相同融合分数序列上分别运行两种算法，采用完全相同的超参数设置。表6给出了量化性能对比。</w:t>
      </w:r>
    </w:p>
    <w:p>
      <w:pPr>
        <w:spacing w:before="160" w:after="0"/>
        <w:jc w:val="center"/>
      </w:pPr>
      <w:r>
        <w:rPr>
          <w:b/>
          <w:sz w:val="18"/>
        </w:rPr>
        <w:t>表6 经典SPOT与I-SPOT性能对比</w:t>
      </w:r>
    </w:p>
    <w:p>
      <w:pPr>
        <w:spacing w:before="0" w:after="80"/>
        <w:jc w:val="center"/>
      </w:pPr>
      <w:r>
        <w:rPr>
          <w:sz w:val="18"/>
        </w:rPr>
        <w:t>Table 6 Performance comparison of classic SPOT and I-SPOT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8"/>
        <w:gridCol w:w="2078"/>
        <w:gridCol w:w="2078"/>
        <w:gridCol w:w="2078"/>
      </w:tblGrid>
      <w:tr>
        <w:tc>
          <w:tcPr>
            <w:tcW w:type="dxa" w:w="2078"/>
          </w:tcPr>
          <w:p>
            <w:pPr>
              <w:jc w:val="center"/>
            </w:pPr>
            <w:r/>
            <w:r>
              <w:rPr>
                <w:b/>
                <w:sz w:val="18"/>
              </w:rPr>
              <w:t>阈值算法</w:t>
            </w:r>
          </w:p>
        </w:tc>
        <w:tc>
          <w:tcPr>
            <w:tcW w:type="dxa" w:w="2078"/>
          </w:tcPr>
          <w:p>
            <w:pPr>
              <w:jc w:val="center"/>
            </w:pPr>
            <w:r/>
            <w:r>
              <w:rPr>
                <w:b/>
                <w:sz w:val="18"/>
              </w:rPr>
              <w:t>Precision</w:t>
            </w:r>
          </w:p>
        </w:tc>
        <w:tc>
          <w:tcPr>
            <w:tcW w:type="dxa" w:w="2078"/>
          </w:tcPr>
          <w:p>
            <w:pPr>
              <w:jc w:val="center"/>
            </w:pPr>
            <w:r/>
            <w:r>
              <w:rPr>
                <w:b/>
                <w:sz w:val="18"/>
              </w:rPr>
              <w:t>Recall</w:t>
            </w:r>
          </w:p>
        </w:tc>
        <w:tc>
          <w:tcPr>
            <w:tcW w:type="dxa" w:w="2078"/>
          </w:tcPr>
          <w:p>
            <w:pPr>
              <w:jc w:val="center"/>
            </w:pPr>
            <w:r/>
            <w:r>
              <w:rPr>
                <w:b/>
                <w:sz w:val="18"/>
              </w:rPr>
              <w:t>F1</w:t>
            </w:r>
          </w:p>
        </w:tc>
      </w:tr>
      <w:tr>
        <w:tc>
          <w:tcPr>
            <w:tcW w:type="dxa" w:w="2078"/>
          </w:tcPr>
          <w:p>
            <w:pPr>
              <w:jc w:val="center"/>
            </w:pPr>
            <w:r/>
            <w:r>
              <w:rPr>
                <w:sz w:val="18"/>
              </w:rPr>
              <w:t>经典SPOT</w:t>
            </w:r>
          </w:p>
        </w:tc>
        <w:tc>
          <w:tcPr>
            <w:tcW w:type="dxa" w:w="2078"/>
          </w:tcPr>
          <w:p>
            <w:pPr>
              <w:jc w:val="center"/>
            </w:pPr>
            <w:r/>
            <w:r>
              <w:rPr>
                <w:sz w:val="18"/>
              </w:rPr>
              <w:t>0.3218</w:t>
            </w:r>
          </w:p>
        </w:tc>
        <w:tc>
          <w:tcPr>
            <w:tcW w:type="dxa" w:w="2078"/>
          </w:tcPr>
          <w:p>
            <w:pPr>
              <w:jc w:val="center"/>
            </w:pPr>
            <w:r/>
            <w:r>
              <w:rPr>
                <w:sz w:val="18"/>
              </w:rPr>
              <w:t>1.0000</w:t>
            </w:r>
          </w:p>
        </w:tc>
        <w:tc>
          <w:tcPr>
            <w:tcW w:type="dxa" w:w="2078"/>
          </w:tcPr>
          <w:p>
            <w:pPr>
              <w:jc w:val="center"/>
            </w:pPr>
            <w:r/>
            <w:r>
              <w:rPr>
                <w:sz w:val="18"/>
              </w:rPr>
              <w:t>0.4870</w:t>
            </w:r>
          </w:p>
        </w:tc>
      </w:tr>
      <w:tr>
        <w:tc>
          <w:tcPr>
            <w:tcW w:type="dxa" w:w="2078"/>
          </w:tcPr>
          <w:p>
            <w:pPr>
              <w:jc w:val="center"/>
            </w:pPr>
            <w:r/>
            <w:r>
              <w:rPr>
                <w:sz w:val="18"/>
              </w:rPr>
              <w:t>I-SPOT</w:t>
            </w:r>
          </w:p>
        </w:tc>
        <w:tc>
          <w:tcPr>
            <w:tcW w:type="dxa" w:w="2078"/>
          </w:tcPr>
          <w:p>
            <w:pPr>
              <w:jc w:val="center"/>
            </w:pPr>
            <w:r/>
            <w:r>
              <w:rPr>
                <w:sz w:val="18"/>
              </w:rPr>
              <w:t>1.0000</w:t>
            </w:r>
          </w:p>
        </w:tc>
        <w:tc>
          <w:tcPr>
            <w:tcW w:type="dxa" w:w="2078"/>
          </w:tcPr>
          <w:p>
            <w:pPr>
              <w:jc w:val="center"/>
            </w:pPr>
            <w:r/>
            <w:r>
              <w:rPr>
                <w:sz w:val="18"/>
              </w:rPr>
              <w:t>0.9732</w:t>
            </w:r>
          </w:p>
        </w:tc>
        <w:tc>
          <w:tcPr>
            <w:tcW w:type="dxa" w:w="2078"/>
          </w:tcPr>
          <w:p>
            <w:pPr>
              <w:jc w:val="center"/>
            </w:pPr>
            <w:r/>
            <w:r>
              <w:rPr>
                <w:sz w:val="18"/>
              </w:rPr>
              <w:t>0.9864</w:t>
            </w:r>
          </w:p>
        </w:tc>
      </w:tr>
    </w:tbl>
    <w:p/>
    <w:p>
      <w:pPr>
        <w:spacing w:line="300" w:lineRule="auto"/>
        <w:ind w:firstLine="420"/>
      </w:pPr>
      <w:r>
        <w:rPr>
          <w:sz w:val="21"/>
        </w:rPr>
        <w:t>经典SPOT虽实现了1.0的召回率，但精确率仅为0.3218，超过三分之二的报警为误报。I-SPOT在保持0.9732高召回率的同时实现了1.0的精确率，F1分数较经典SPOT提升约50个百分点。图7从阈值动态变化角度直观揭示了两种算法的差异。</w:t>
      </w:r>
    </w:p>
    <w:p>
      <w:pPr>
        <w:jc w:val="center"/>
      </w:pPr>
      <w:r>
        <w:drawing>
          <wp:inline xmlns:a="http://schemas.openxmlformats.org/drawingml/2006/main" xmlns:pic="http://schemas.openxmlformats.org/drawingml/2006/picture" xmlns:asvg="http://schemas.microsoft.com/office/drawing/2016/SVG/main">
            <wp:extent cx="5029200" cy="2555633"/>
            <wp:docPr id="100007" name="Picture 100007"/>
            <wp:cNvGraphicFramePr>
              <a:graphicFrameLocks noChangeAspect="1"/>
            </wp:cNvGraphicFramePr>
            <a:graphic>
              <a:graphicData uri="http://schemas.openxmlformats.org/drawingml/2006/picture">
                <pic:pic>
                  <pic:nvPicPr>
                    <pic:cNvPr id="0" name="spot_vs_ispot_fused.png"/>
                    <pic:cNvPicPr/>
                  </pic:nvPicPr>
                  <pic:blipFill>
                    <a:blip r:embed="rId13"/>
                    <a:stretch>
                      <a:fillRect/>
                    </a:stretch>
                  </pic:blipFill>
                  <pic:spPr>
                    <a:xfrm>
                      <a:off x="0" y="0"/>
                      <a:ext cx="5029200" cy="2555633"/>
                    </a:xfrm>
                    <a:prstGeom prst="rect"/>
                  </pic:spPr>
                </pic:pic>
              </a:graphicData>
            </a:graphic>
          </wp:inline>
        </w:drawing>
      </w:r>
    </w:p>
    <w:p>
      <w:pPr>
        <w:spacing w:before="80" w:after="0"/>
        <w:jc w:val="center"/>
      </w:pPr>
      <w:r>
        <w:rPr>
          <w:b/>
          <w:sz w:val="18"/>
        </w:rPr>
        <w:t>图7 融合分数上经典SPOT与I-SPOT检测结果对比</w:t>
      </w:r>
    </w:p>
    <w:p>
      <w:pPr>
        <w:spacing w:before="0" w:after="160"/>
        <w:jc w:val="center"/>
      </w:pPr>
      <w:r>
        <w:rPr>
          <w:sz w:val="18"/>
        </w:rPr>
        <w:t>Fig.7 Comparison of classic SPOT and I-SPOT detection results on fused scores</w:t>
      </w:r>
    </w:p>
    <w:p>
      <w:pPr>
        <w:spacing w:line="300" w:lineRule="auto"/>
        <w:ind w:firstLine="420"/>
      </w:pPr>
      <w:r>
        <w:rPr>
          <w:sz w:val="21"/>
        </w:rPr>
        <w:t>上子图中经典SPOT的阈值呈明显的单调下降趋势，到序列后半段已降至极低水平，导致大量误报。其根源在于排他性更新策略下的"阈值衰减"正反馈循环。下子图中I-SPOT的阈值在整个处理过程中始终保持平稳，检测标记仅出现在真实异常点附近，几乎不存在误报，验证了包容性更新策略的有效性。</w:t>
      </w:r>
    </w:p>
    <w:p>
      <w:pPr>
        <w:pStyle w:val="Heading1"/>
        <w:spacing w:before="240" w:after="120"/>
      </w:pPr>
      <w:r>
        <w:rPr>
          <w:b/>
          <w:sz w:val="28"/>
        </w:rPr>
        <w:t>6 结论</w:t>
      </w:r>
    </w:p>
    <w:p>
      <w:pPr>
        <w:spacing w:line="300" w:lineRule="auto"/>
        <w:ind w:firstLine="420"/>
      </w:pPr>
      <w:r>
        <w:rPr>
          <w:sz w:val="21"/>
        </w:rPr>
        <w:t>本文针对分布式集群中单指标多节点场景的异常检测问题，提出了CSAD-AT框架。主要贡献包括：（1）基于联通大数据生产环境构建了高质量的单指标多节点时序数据集；（2）设计了基于欧氏距离、自编码器嵌入和局部密度偏离的三种互补曲线相似性评分方法；（3）提出I-SPOT自适应阈值算法，通过包容性数据池更新与周期性GPD重估机制解决了经典SPOT的阈值衰减问题；（4）将上述组件整合为CSAD-AT框架，实验表明在无需人工阈值调整的条件下F1分数达到0.9864，显著优于现有方法。</w:t>
      </w:r>
    </w:p>
    <w:p>
      <w:pPr>
        <w:spacing w:line="300" w:lineRule="auto"/>
        <w:ind w:firstLine="420"/>
      </w:pPr>
      <w:r>
        <w:rPr>
          <w:sz w:val="21"/>
        </w:rPr>
        <w:t>未来工作将从两个方向拓展：一是将异常检测方法扩展至多指标联合检测场景，充分利用指标间的关联信息；二是在更多类型的分布式集群和监控指标上验证方法的泛化能力。</w:t>
      </w:r>
    </w:p>
    <w:p>
      <w:pPr>
        <w:pStyle w:val="Heading1"/>
        <w:spacing w:before="240" w:after="120"/>
      </w:pPr>
      <w:r>
        <w:rPr>
          <w:b/>
          <w:sz w:val="28"/>
        </w:rPr>
        <w:t>参考文献</w:t>
      </w:r>
    </w:p>
    <w:p>
      <w:pPr>
        <w:spacing w:before="20" w:after="20"/>
      </w:pPr>
      <w:r>
        <w:rPr>
          <w:sz w:val="18"/>
        </w:rPr>
        <w:t>[1] Su Y, Zhao Y, Niu C, et al. Robust anomaly detection for multivariate time series through stochastic recurrent neural network[C]//KDD 2019.</w:t>
      </w:r>
    </w:p>
    <w:p>
      <w:pPr>
        <w:spacing w:before="20" w:after="20"/>
      </w:pPr>
      <w:r>
        <w:rPr>
          <w:sz w:val="18"/>
        </w:rPr>
        <w:t>[2] Audibert J, Michiardi P, Guyard F, et al. USAD: unsupervised anomaly detection on multivariate time series[C]//KDD 2020.</w:t>
      </w:r>
    </w:p>
    <w:p>
      <w:pPr>
        <w:spacing w:before="20" w:after="20"/>
      </w:pPr>
      <w:r>
        <w:rPr>
          <w:sz w:val="18"/>
        </w:rPr>
        <w:t>[3] Tuli S, Casale G, Jennings N R. TranAD: deep transformer networks for anomaly detection in multivariate time series data[J]. Proc. VLDB Endow., 2022.</w:t>
      </w:r>
    </w:p>
    <w:p>
      <w:pPr>
        <w:spacing w:before="20" w:after="20"/>
      </w:pPr>
      <w:r>
        <w:rPr>
          <w:sz w:val="18"/>
        </w:rPr>
        <w:t>[4] Deng A, Hooi B. Graph neural network-based anomaly detection in multivariate time series[C]//AAAI 2021.</w:t>
      </w:r>
    </w:p>
    <w:p>
      <w:pPr>
        <w:spacing w:before="20" w:after="20"/>
      </w:pPr>
      <w:r>
        <w:rPr>
          <w:sz w:val="18"/>
        </w:rPr>
        <w:t>[5] Zhao H, Wang Y, Duan J, et al. Multivariate time-series anomaly detection via graph attention network[C]//ICDM 2020.</w:t>
      </w:r>
    </w:p>
    <w:p>
      <w:pPr>
        <w:spacing w:before="20" w:after="20"/>
      </w:pPr>
      <w:r>
        <w:rPr>
          <w:sz w:val="18"/>
        </w:rPr>
        <w:t>[6] Li D, Chen D, Jin B, et al. MAD-GAN: multivariate anomaly detection for time series data with generative adversarial networks[C]//ICANN 2019.</w:t>
      </w:r>
    </w:p>
    <w:p>
      <w:pPr>
        <w:spacing w:before="20" w:after="20"/>
      </w:pPr>
      <w:r>
        <w:rPr>
          <w:sz w:val="18"/>
        </w:rPr>
        <w:t>[7] Siffer A, Fouque P A, Termier A, et al. Anomaly detection in streams with extreme value theory[C]//KDD 2017.</w:t>
      </w:r>
    </w:p>
    <w:sectPr w:rsidR="00D7255A" w:rsidRPr="003626E4">
      <w:pgSz w:w="11906" w:h="16838"/>
      <w:pgMar w:top="1440" w:right="1797" w:bottom="1440" w:left="179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C9836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91201E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25A70C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C94A47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D666D7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79A802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FE1D8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796726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D9CB93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0089D2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F4763CB"/>
    <w:multiLevelType w:val="hybridMultilevel"/>
    <w:tmpl w:val="743A54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FC953C0"/>
    <w:multiLevelType w:val="hybridMultilevel"/>
    <w:tmpl w:val="70747A32"/>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6EB14468"/>
    <w:multiLevelType w:val="hybridMultilevel"/>
    <w:tmpl w:val="3BB4BE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372273615">
    <w:abstractNumId w:val="12"/>
  </w:num>
  <w:num w:numId="2" w16cid:durableId="1660577753">
    <w:abstractNumId w:val="11"/>
  </w:num>
  <w:num w:numId="3" w16cid:durableId="1923641827">
    <w:abstractNumId w:val="9"/>
  </w:num>
  <w:num w:numId="4" w16cid:durableId="1388383677">
    <w:abstractNumId w:val="10"/>
  </w:num>
  <w:num w:numId="5" w16cid:durableId="1612664135">
    <w:abstractNumId w:val="7"/>
  </w:num>
  <w:num w:numId="6" w16cid:durableId="1665276436">
    <w:abstractNumId w:val="6"/>
  </w:num>
  <w:num w:numId="7" w16cid:durableId="1605962847">
    <w:abstractNumId w:val="5"/>
  </w:num>
  <w:num w:numId="8" w16cid:durableId="619337473">
    <w:abstractNumId w:val="4"/>
  </w:num>
  <w:num w:numId="9" w16cid:durableId="2038239565">
    <w:abstractNumId w:val="8"/>
  </w:num>
  <w:num w:numId="10" w16cid:durableId="1838230517">
    <w:abstractNumId w:val="3"/>
  </w:num>
  <w:num w:numId="11" w16cid:durableId="1637563222">
    <w:abstractNumId w:val="2"/>
  </w:num>
  <w:num w:numId="12" w16cid:durableId="743454699">
    <w:abstractNumId w:val="1"/>
  </w:num>
  <w:num w:numId="13" w16cid:durableId="42605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stylePaneFormatFilter w:val="1424" w:allStyles="0" w:customStyles="0" w:latentStyles="1" w:stylesInUse="0" w:headingStyles="1" w:numberingStyles="0" w:tableStyles="0" w:directFormattingOnRuns="0" w:directFormattingOnParagraphs="0" w:directFormattingOnNumbering="1"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C52"/>
    <w:rsid w:val="00051D34"/>
    <w:rsid w:val="000B7F73"/>
    <w:rsid w:val="00163376"/>
    <w:rsid w:val="001D48BF"/>
    <w:rsid w:val="003626E4"/>
    <w:rsid w:val="005F4C52"/>
    <w:rsid w:val="007341F4"/>
    <w:rsid w:val="00765D75"/>
    <w:rsid w:val="007E4C49"/>
    <w:rsid w:val="0084288D"/>
    <w:rsid w:val="00986238"/>
    <w:rsid w:val="009D0573"/>
    <w:rsid w:val="009E663E"/>
    <w:rsid w:val="00D7255A"/>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C649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1F4"/>
    <w:pPr>
      <w:spacing w:line="300" w:lineRule="auto" w:before="0" w:after="0"/>
    </w:pPr>
    <w:rPr>
      <w:rFonts w:ascii="Times New Roman" w:hAnsi="Times New Roman" w:eastAsia="宋体"/>
      <w:sz w:val="21"/>
    </w:rPr>
  </w:style>
  <w:style w:type="paragraph" w:styleId="Heading1">
    <w:name w:val="heading 1"/>
    <w:basedOn w:val="Normal"/>
    <w:next w:val="Normal"/>
    <w:link w:val="Heading1Char"/>
    <w:uiPriority w:val="9"/>
    <w:qFormat/>
    <w:rsid w:val="009862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8623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8623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8623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8623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65D7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5D7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8623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8623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86238"/>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986238"/>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986238"/>
    <w:rPr>
      <w:rFonts w:asciiTheme="majorHAnsi" w:eastAsiaTheme="majorEastAsia" w:hAnsiTheme="majorHAnsi" w:cstheme="majorBidi"/>
      <w:color w:val="2F5496" w:themeColor="accent1" w:themeShade="BF"/>
    </w:rPr>
  </w:style>
  <w:style w:type="paragraph" w:styleId="Subtitle">
    <w:name w:val="Subtitle"/>
    <w:basedOn w:val="Normal"/>
    <w:next w:val="Normal"/>
    <w:link w:val="SubtitleChar"/>
    <w:uiPriority w:val="11"/>
    <w:qFormat/>
    <w:rsid w:val="0098623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86238"/>
    <w:rPr>
      <w:rFonts w:eastAsiaTheme="minorEastAsia"/>
      <w:color w:val="5A5A5A" w:themeColor="text1" w:themeTint="A5"/>
      <w:spacing w:val="15"/>
    </w:rPr>
  </w:style>
  <w:style w:type="character" w:styleId="SubtleEmphasis">
    <w:name w:val="Subtle Emphasis"/>
    <w:basedOn w:val="DefaultParagraphFont"/>
    <w:uiPriority w:val="19"/>
    <w:qFormat/>
    <w:rsid w:val="00986238"/>
    <w:rPr>
      <w:i/>
      <w:iCs/>
      <w:color w:val="404040" w:themeColor="text1" w:themeTint="BF"/>
    </w:rPr>
  </w:style>
  <w:style w:type="character" w:styleId="Emphasis">
    <w:name w:val="Emphasis"/>
    <w:basedOn w:val="DefaultParagraphFont"/>
    <w:uiPriority w:val="20"/>
    <w:qFormat/>
    <w:rsid w:val="00986238"/>
    <w:rPr>
      <w:i/>
      <w:iCs/>
    </w:rPr>
  </w:style>
  <w:style w:type="character" w:styleId="IntenseEmphasis">
    <w:name w:val="Intense Emphasis"/>
    <w:basedOn w:val="DefaultParagraphFont"/>
    <w:uiPriority w:val="21"/>
    <w:qFormat/>
    <w:rsid w:val="00986238"/>
    <w:rPr>
      <w:i/>
      <w:iCs/>
      <w:color w:val="4472C4" w:themeColor="accent1"/>
    </w:rPr>
  </w:style>
  <w:style w:type="character" w:styleId="Strong">
    <w:name w:val="Strong"/>
    <w:basedOn w:val="DefaultParagraphFont"/>
    <w:uiPriority w:val="22"/>
    <w:qFormat/>
    <w:rsid w:val="00986238"/>
    <w:rPr>
      <w:b/>
      <w:bCs/>
    </w:rPr>
  </w:style>
  <w:style w:type="paragraph" w:styleId="Quote">
    <w:name w:val="Quote"/>
    <w:basedOn w:val="Normal"/>
    <w:next w:val="Normal"/>
    <w:link w:val="QuoteChar"/>
    <w:uiPriority w:val="29"/>
    <w:qFormat/>
    <w:rsid w:val="00986238"/>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986238"/>
    <w:rPr>
      <w:i/>
      <w:iCs/>
      <w:color w:val="404040" w:themeColor="text1" w:themeTint="BF"/>
    </w:rPr>
  </w:style>
  <w:style w:type="paragraph" w:styleId="IntenseQuote">
    <w:name w:val="Intense Quote"/>
    <w:basedOn w:val="Normal"/>
    <w:next w:val="Normal"/>
    <w:link w:val="IntenseQuoteChar"/>
    <w:uiPriority w:val="30"/>
    <w:qFormat/>
    <w:rsid w:val="009E663E"/>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9E663E"/>
    <w:rPr>
      <w:i/>
      <w:iCs/>
      <w:color w:val="4472C4" w:themeColor="accent1"/>
    </w:rPr>
  </w:style>
  <w:style w:type="character" w:styleId="SubtleReference">
    <w:name w:val="Subtle Reference"/>
    <w:basedOn w:val="DefaultParagraphFont"/>
    <w:uiPriority w:val="31"/>
    <w:qFormat/>
    <w:rsid w:val="009E663E"/>
    <w:rPr>
      <w:smallCaps/>
      <w:color w:val="5A5A5A" w:themeColor="text1" w:themeTint="A5"/>
    </w:rPr>
  </w:style>
  <w:style w:type="character" w:styleId="IntenseReference">
    <w:name w:val="Intense Reference"/>
    <w:basedOn w:val="DefaultParagraphFont"/>
    <w:uiPriority w:val="32"/>
    <w:qFormat/>
    <w:rsid w:val="009E663E"/>
    <w:rPr>
      <w:b/>
      <w:bCs/>
      <w:smallCaps/>
      <w:color w:val="4472C4" w:themeColor="accent1"/>
      <w:spacing w:val="5"/>
    </w:rPr>
  </w:style>
  <w:style w:type="character" w:styleId="BookTitle">
    <w:name w:val="Book Title"/>
    <w:basedOn w:val="DefaultParagraphFont"/>
    <w:uiPriority w:val="33"/>
    <w:qFormat/>
    <w:rsid w:val="009E663E"/>
    <w:rPr>
      <w:b/>
      <w:bCs/>
      <w:i/>
      <w:iCs/>
      <w:spacing w:val="5"/>
    </w:rPr>
  </w:style>
  <w:style w:type="paragraph" w:styleId="ListParagraph">
    <w:name w:val="List Paragraph"/>
    <w:basedOn w:val="Normal"/>
    <w:uiPriority w:val="34"/>
    <w:qFormat/>
    <w:rsid w:val="009E663E"/>
    <w:pPr>
      <w:ind w:left="720"/>
      <w:contextualSpacing/>
    </w:pPr>
  </w:style>
  <w:style w:type="paragraph" w:styleId="NoSpacing">
    <w:name w:val="No Spacing"/>
    <w:uiPriority w:val="1"/>
    <w:qFormat/>
    <w:rsid w:val="009E663E"/>
    <w:pPr>
      <w:spacing w:after="0" w:line="240" w:lineRule="auto"/>
    </w:pPr>
  </w:style>
  <w:style w:type="paragraph" w:styleId="ListNumber">
    <w:name w:val="List Number"/>
    <w:basedOn w:val="Normal"/>
    <w:uiPriority w:val="99"/>
    <w:unhideWhenUsed/>
    <w:rsid w:val="00D7255A"/>
    <w:pPr>
      <w:numPr>
        <w:numId w:val="9"/>
      </w:numPr>
      <w:contextualSpacing/>
    </w:pPr>
  </w:style>
  <w:style w:type="paragraph" w:styleId="ListBullet">
    <w:name w:val="List Bullet"/>
    <w:basedOn w:val="Normal"/>
    <w:uiPriority w:val="99"/>
    <w:unhideWhenUsed/>
    <w:qFormat/>
    <w:rsid w:val="007E4C49"/>
    <w:pPr>
      <w:numPr>
        <w:numId w:val="3"/>
      </w:numPr>
      <w:contextualSpacing/>
    </w:pPr>
  </w:style>
  <w:style w:type="paragraph" w:styleId="MacroText">
    <w:name w:val="macro"/>
    <w:link w:val="MacroTextChar"/>
    <w:uiPriority w:val="99"/>
    <w:unhideWhenUsed/>
    <w:rsid w:val="00D7255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D7255A"/>
    <w:rPr>
      <w:rFonts w:ascii="Consolas" w:hAnsi="Consolas"/>
      <w:sz w:val="20"/>
      <w:szCs w:val="20"/>
    </w:rPr>
  </w:style>
  <w:style w:type="character" w:styleId="Mention">
    <w:name w:val="Mention"/>
    <w:basedOn w:val="DefaultParagraphFont"/>
    <w:uiPriority w:val="99"/>
    <w:unhideWhenUsed/>
    <w:rsid w:val="00D7255A"/>
    <w:rPr>
      <w:color w:val="2B579A"/>
      <w:shd w:val="clear" w:color="auto" w:fill="E1DFDD"/>
    </w:rPr>
  </w:style>
  <w:style w:type="paragraph" w:styleId="MessageHeader">
    <w:name w:val="Message Header"/>
    <w:basedOn w:val="Normal"/>
    <w:link w:val="MessageHeaderChar"/>
    <w:uiPriority w:val="99"/>
    <w:unhideWhenUsed/>
    <w:rsid w:val="00D7255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rsid w:val="00D7255A"/>
    <w:rPr>
      <w:rFonts w:asciiTheme="majorHAnsi" w:eastAsiaTheme="majorEastAsia" w:hAnsiTheme="majorHAnsi" w:cstheme="majorBidi"/>
      <w:sz w:val="24"/>
      <w:szCs w:val="24"/>
      <w:shd w:val="pct20" w:color="auto" w:fill="auto"/>
    </w:rPr>
  </w:style>
  <w:style w:type="paragraph" w:styleId="PlainText">
    <w:name w:val="Plain Text"/>
    <w:basedOn w:val="Normal"/>
    <w:link w:val="PlainTextChar"/>
    <w:uiPriority w:val="99"/>
    <w:unhideWhenUsed/>
    <w:rsid w:val="00D7255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D7255A"/>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2022-12-05T10:46:00Z</dcterms:created>
  <dcterms:modified xsi:type="dcterms:W3CDTF">2022-12-05T10:46:00Z</dcterms:modified>
</cp:coreProperties>
</file>