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Microsoft YaHei" w:hAnsi="Microsoft YaHei" w:eastAsia="Microsoft YaHei"/>
          <w:b/>
          <w:color w:val="D28A32"/>
          <w:sz w:val="18"/>
        </w:rPr>
        <w:t>YOU WEI YAKITORI · INVESTMENT PROPOSAL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81614"/>
          <w:sz w:val="54"/>
        </w:rPr>
        <w:t>游味烧鸟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5A3822"/>
          <w:sz w:val="36"/>
        </w:rPr>
        <w:t>项目投资方案</w:t>
      </w:r>
    </w:p>
    <w:p>
      <w:pPr>
        <w:keepNext w:val="0"/>
        <w:spacing w:before="0" w:after="240" w:line="320" w:lineRule="auto"/>
        <w:jc w:val="center"/>
      </w:pPr>
      <w:r>
        <w:rPr>
          <w:rFonts w:ascii="Microsoft YaHei" w:hAnsi="Microsoft YaHei" w:eastAsia="Microsoft YaHei"/>
          <w:b/>
          <w:i w:val="0"/>
          <w:color w:val="8A7764"/>
          <w:sz w:val="22"/>
        </w:rPr>
        <w:t>后湖湖畔木构烧鸟 × 酒水 × 夜间社交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9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正面视角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8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color="E8D8BC"/>
          <w:left w:val="single" w:sz="4" w:color="E8D8BC"/>
          <w:bottom w:val="single" w:sz="4" w:color="E8D8BC"/>
          <w:right w:val="single" w:sz="4" w:color="E8D8BC"/>
          <w:insideH w:val="single" w:sz="4" w:color="E8D8BC"/>
          <w:insideV w:val="single" w:sz="4" w:color="E8D8B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8A7764"/>
                <w:sz w:val="16"/>
              </w:rPr>
              <w:t>提案对象</w:t>
              <w:br/>
            </w:r>
            <w:r>
              <w:rPr>
                <w:rFonts w:ascii="Microsoft YaHei" w:hAnsi="Microsoft YaHei" w:eastAsia="Microsoft YaHei"/>
                <w:b/>
                <w:color w:val="181614"/>
                <w:sz w:val="20"/>
              </w:rPr>
              <w:t>项目创始人 / 潜在投资合作方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8A7764"/>
                <w:sz w:val="16"/>
              </w:rPr>
              <w:t>项目地点</w:t>
              <w:br/>
            </w:r>
            <w:r>
              <w:rPr>
                <w:rFonts w:ascii="Microsoft YaHei" w:hAnsi="Microsoft YaHei" w:eastAsia="Microsoft YaHei"/>
                <w:b/>
                <w:color w:val="181614"/>
                <w:sz w:val="20"/>
              </w:rPr>
              <w:t>长沙 · 后湖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8A7764"/>
                <w:sz w:val="16"/>
              </w:rPr>
              <w:t>文件版本</w:t>
              <w:br/>
            </w:r>
            <w:r>
              <w:rPr>
                <w:rFonts w:ascii="Microsoft YaHei" w:hAnsi="Microsoft YaHei" w:eastAsia="Microsoft YaHei"/>
                <w:b/>
                <w:color w:val="181614"/>
                <w:sz w:val="20"/>
              </w:rPr>
              <w:t>V1.0 可编辑版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8A7764"/>
                <w:sz w:val="16"/>
              </w:rPr>
              <w:t>编制日期</w:t>
              <w:br/>
            </w:r>
            <w:r>
              <w:rPr>
                <w:rFonts w:ascii="Microsoft YaHei" w:hAnsi="Microsoft YaHei" w:eastAsia="Microsoft YaHei"/>
                <w:b/>
                <w:color w:val="181614"/>
                <w:sz w:val="20"/>
              </w:rPr>
              <w:t>2026年8月10日</w:t>
            </w:r>
          </w:p>
        </w:tc>
      </w:tr>
    </w:tbl>
    <w:p>
      <w:pPr>
        <w:keepNext w:val="0"/>
        <w:spacing w:before="160" w:after="0" w:line="320" w:lineRule="auto"/>
        <w:jc w:val="center"/>
      </w:pPr>
      <w:r>
        <w:rPr>
          <w:rFonts w:ascii="Microsoft YaHei" w:hAnsi="Microsoft YaHei" w:eastAsia="Microsoft YaHei"/>
          <w:b w:val="0"/>
          <w:i/>
          <w:color w:val="5A3822"/>
          <w:sz w:val="24"/>
        </w:rPr>
        <w:t>游于后湖，味在人间。</w:t>
      </w:r>
    </w:p>
    <w:p>
      <w:r>
        <w:br w:type="page"/>
      </w:r>
    </w:p>
    <w:p>
      <w:pPr>
        <w:pStyle w:val="Heading1"/>
        <w:keepNext/>
      </w:pPr>
      <w:r>
        <w:t>文件使用说明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这是可修改的提案底稿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正文、表格、标题和图片均可在Word中继续修改；财务结果对应同文件夹内《游味烧鸟_项目投资测算模型_可编辑版.xlsx》。若改动经营数字，应先在Excel黄色输入格中更新，再把关键结果同步到本方案。</w:t>
            </w:r>
          </w:p>
        </w:tc>
      </w:tr>
    </w:tbl>
    <w:p>
      <w:pPr>
        <w:pStyle w:val="Heading2"/>
        <w:keepNext/>
      </w:pPr>
      <w:r>
        <w:t>建议修改顺序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确认租金、押付方式、租期、免租期、外摆权利和排烟条件。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用三家同口径清单报价替换装修与设备暂估。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用实际菜单成本卡、排班表替换食材成本率和人工假设。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用试营业预约、客单价、翻台率验证三种经营情景。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确定股权、债务或自有资金结构，再形成最终投资决议。</w:t>
      </w:r>
    </w:p>
    <w:p>
      <w:pPr>
        <w:pStyle w:val="Heading2"/>
        <w:keepNext/>
      </w:pPr>
      <w:r>
        <w:t>数字口径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确定依据：现有项目文件、空间模型、装修预算和VI/物料成果。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示例假设：租金、客单价、翻台率、人工、流动资金等，均可在Excel修改。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模型结果：未计折旧、融资利息和所得税，属于项目层面的税前经营现金流测算。</w:t>
      </w:r>
    </w:p>
    <w:p>
      <w:pPr>
        <w:pStyle w:val="Heading2"/>
        <w:keepNext/>
      </w:pPr>
      <w:r>
        <w:t>目录</w:t>
      </w:r>
    </w:p>
    <w:p>
      <w:r>
        <w:rPr>
          <w:rFonts w:ascii="Microsoft YaHei" w:hAnsi="Microsoft YaHei" w:eastAsia="Microsoft YaHei"/>
          <w:color w:val="8A7764"/>
          <w:sz w:val="20"/>
        </w:rPr>
        <w:fldChar w:fldCharType="begin"/>
        <w:instrText xml:space="preserve">TOC \o "1-2" \h \z \u</w:instrText>
        <w:fldChar w:fldCharType="separate"/>
        <w:t>在Word中右键更新目录</w:t>
        <w:fldChar w:fldCharType="end"/>
      </w:r>
    </w:p>
    <w:p>
      <w:r>
        <w:br w:type="page"/>
      </w:r>
    </w:p>
    <w:p>
      <w:pPr>
        <w:pStyle w:val="Heading1"/>
        <w:keepNext/>
      </w:pPr>
      <w:r>
        <w:t>1. 投资摘要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游味烧鸟拟在长沙后湖打造一处约57㎡主体、约72㎡总包络的湖畔木构烧鸟空间。项目不以传统居酒屋的高密度座席为核心，而以“看湖、炭火、木构、夜晚、慢社交”为体验主线，通过板前烧鸟、酒水、湖景吧台和沙发区形成兼具餐饮效率与目的地属性的夜间消费场景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color="5A3822"/>
          <w:left w:val="single" w:sz="4" w:color="5A3822"/>
          <w:bottom w:val="single" w:sz="4" w:color="5A3822"/>
          <w:right w:val="single" w:sz="4" w:color="5A3822"/>
          <w:insideH w:val="single" w:sz="4" w:color="5A3822"/>
          <w:insideV w:val="single" w:sz="4" w:color="5A382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1614"/>
          </w:tcPr>
          <w:p>
            <w:pPr>
              <w:spacing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8D8BC"/>
                <w:sz w:val="17"/>
              </w:rPr>
              <w:t>示例总开办资金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约118.81万元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8D8BC"/>
                <w:sz w:val="17"/>
              </w:rPr>
              <w:t>装修建议预算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约83.81万元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1614"/>
          </w:tcPr>
          <w:p>
            <w:pPr>
              <w:spacing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8D8BC"/>
                <w:sz w:val="17"/>
              </w:rPr>
              <w:t>基准成熟月收入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约21.38万元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8D8BC"/>
                <w:sz w:val="17"/>
              </w:rPr>
              <w:t>动态回本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约第33个月</w:t>
            </w:r>
          </w:p>
        </w:tc>
      </w:tr>
    </w:tbl>
    <w:p>
      <w:pPr>
        <w:pStyle w:val="Heading2"/>
        <w:keepNext/>
      </w:pPr>
      <w:r>
        <w:t>投资观点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品牌和空间辨识度强：后湖、水岸、木构与炭火形成天然内容资产。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项目体量小、座位有限：必须靠客单价、预约制、板前体验和酒水连带提升单位面积产出。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木构、排烟、消防、户外耐候和临湖条件是成本与工期的主要波动源。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审慎情景下项目月度亏损，因此不能仅以效果图和装修完成度作为投资依据。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建议投资结论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现阶段建议“有条件推进”，而不是无条件开工。先完成租约与合规预审、三家清单报价、菜单成本卡和试营业验证；五个决策门通过后，再锁定总投资与融资结构。</w:t>
            </w:r>
          </w:p>
        </w:tc>
      </w:tr>
    </w:tbl>
    <w:p>
      <w:pPr>
        <w:pStyle w:val="Heading2"/>
        <w:keepNext/>
      </w:pPr>
      <w:r>
        <w:t>基准示例结果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100"/>
        <w:gridCol w:w="1800"/>
        <w:gridCol w:w="54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示例结果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投资含义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可经营座位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22位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需在施工深化与消防口径后复核</w:t>
            </w:r>
          </w:p>
        </w:tc>
      </w:tr>
      <w:tr>
        <w:tc>
          <w:tcPr>
            <w:tcW w:type="dxa" w:w="2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成熟月客流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1,188人次</w:t>
            </w:r>
          </w:p>
        </w:tc>
        <w:tc>
          <w:tcPr>
            <w:tcW w:type="dxa" w:w="54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约22席 × 1.8翻台 × 30天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成熟月收入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213,840元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客单价180元</w:t>
            </w:r>
          </w:p>
        </w:tc>
      </w:tr>
      <w:tr>
        <w:tc>
          <w:tcPr>
            <w:tcW w:type="dxa" w:w="2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成熟月EBITDA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34,927元</w:t>
            </w:r>
          </w:p>
        </w:tc>
        <w:tc>
          <w:tcPr>
            <w:tcW w:type="dxa" w:w="54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EBITDA率约16.3%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动态回本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约第33个月</w:t>
            </w:r>
          </w:p>
        </w:tc>
        <w:tc>
          <w:tcPr>
            <w:tcW w:type="dxa" w:w="54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已考虑前6个月爬坡与后续增长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项目定位与品牌叙事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65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游味烧鸟_V3_VI视觉系统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8A7764"/>
          <w:sz w:val="17"/>
        </w:rPr>
        <w:t>现有VI视觉系统总览；投资方案沿用夜蓝、炭黑、胡桃木与琥珀灯金。</w:t>
      </w:r>
    </w:p>
    <w:p>
      <w:pPr>
        <w:pStyle w:val="Heading2"/>
        <w:keepNext/>
      </w:pPr>
      <w:r>
        <w:t>品牌定位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“游味”既是沿湖游走、在夜色中停留，也是通过火候与风味完成的一次短暂出走。项目的核心不是复制日式居酒屋符号，而是在长沙后湖建立一处属于本地夜晚的炭火据点：有湖风、有木香、有烧鸟师傅的火候，也有人与人之间不被催促的相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品牌核心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湖畔 × 木构 × 炭火 × 夜晚 × 长沙</w:t>
            </w:r>
          </w:p>
        </w:tc>
      </w:tr>
      <w:tr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品类表达</w:t>
            </w:r>
          </w:p>
        </w:tc>
        <w:tc>
          <w:tcPr>
            <w:tcW w:type="dxa" w:w="7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烧鸟为核心，酒水与轻社交为增益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空间气质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克制、温暖、手作、松弛、有夜色</w:t>
            </w:r>
          </w:p>
        </w:tc>
      </w:tr>
      <w:tr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主张</w:t>
            </w:r>
          </w:p>
        </w:tc>
        <w:tc>
          <w:tcPr>
            <w:tcW w:type="dxa" w:w="7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游于后湖，味在人间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英文识别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YOU WEI YAKITORI</w:t>
            </w:r>
          </w:p>
        </w:tc>
      </w:tr>
    </w:tbl>
    <w:p>
      <w:pPr>
        <w:pStyle w:val="Heading2"/>
        <w:keepNext/>
      </w:pPr>
      <w:r>
        <w:t>品牌护城河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位置叙事：后湖本身就是目的地和传播内容，而非普通商圈背景。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空间叙事：木平台、灯笼、湖面反光、炭火操作形成可识别的夜景画面。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体验叙事：板前出品、师傅动作、酒水搭配和湖景停留共同构成消费理由。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资产延展：VI已延展到菜单、包装、员工服、灯箱、杯具和社交媒体，利于统一传播。</w:t>
      </w:r>
    </w:p>
    <w:p>
      <w:r>
        <w:br w:type="page"/>
      </w:r>
    </w:p>
    <w:p>
      <w:pPr>
        <w:pStyle w:val="Heading1"/>
        <w:keepNext/>
      </w:pPr>
      <w:r>
        <w:t>3. 市场机会与投资逻辑</w:t>
      </w:r>
    </w:p>
    <w:p>
      <w:pPr>
        <w:pStyle w:val="Heading2"/>
        <w:keepNext/>
      </w:pPr>
      <w:r>
        <w:t>城市消费背景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长沙的餐饮与旅游需求仍具增长基础。官方统计显示，2025年长沙餐饮收入为612.37亿元，同比增长5.6%；2025年“五一”5天接待游客811.07万人次，游客花费67.78亿元，40岁以下游客占比49.62%。湖南2025年接待游客8.19亿人次、旅游总花费1.15763万亿元。以上数据说明夜间餐饮、社交与目的地型体验仍具客流基础，但不代表单店必然成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900"/>
        <w:gridCol w:w="3600"/>
        <w:gridCol w:w="38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对项目的意义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需要防范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夜间餐饮需求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烧鸟、酒水与夜景天然匹配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同质化竞争与淡旺季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年轻游客与本地社交</w:t>
            </w:r>
          </w:p>
        </w:tc>
        <w:tc>
          <w:tcPr>
            <w:tcW w:type="dxa" w:w="3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适合小聚、约会、朋友局和内容分享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只靠游客会导致复购不足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后湖目的地属性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湖景和松弛氛围形成到店理由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交通、天气与户外舒适度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小体量精品店</w:t>
            </w:r>
          </w:p>
        </w:tc>
        <w:tc>
          <w:tcPr>
            <w:tcW w:type="dxa" w:w="3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可强化预约感与板前体验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座位少，对单位席位产出敏感</w:t>
            </w:r>
          </w:p>
        </w:tc>
      </w:tr>
    </w:tbl>
    <w:p>
      <w:pPr>
        <w:pStyle w:val="Heading2"/>
        <w:keepNext/>
      </w:pPr>
      <w:r>
        <w:t>可服务市场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核心客群：长沙本地25—40岁、重视氛围与品质的朋友局/约会客群。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机会客群：后湖及周边文创、设计、教育、艺术从业者与夜间社交人群。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游客客群：到长沙寻求非传统网红商业街体验的自由行与短途游客。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团体客群：小型生日、品牌活动、主厨菜单与包场合作。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市场判断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项目更接近“目的地型夜间餐饮空间”，竞争对手不只是烧鸟店，还包括有氛围的酒馆、湖畔咖啡、私房餐厅和小型社交空间。投资测算应以真实到店转化与复购为核心，而不是用城市大盘直接推导收入。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产品、价格与收入结构</w:t>
      </w:r>
    </w:p>
    <w:p>
      <w:pPr>
        <w:pStyle w:val="Heading2"/>
        <w:keepNext/>
      </w:pPr>
      <w:r>
        <w:t>产品架构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550"/>
        <w:gridCol w:w="1600"/>
        <w:gridCol w:w="3760"/>
        <w:gridCol w:w="2450"/>
      </w:tblGrid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建议方向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经营指标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烧鸟核心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到店理由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鸡肉、内脏、蔬菜、季节串物；强调火候与部位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成本卡、出品时间、损耗</w:t>
            </w:r>
          </w:p>
        </w:tc>
      </w:tr>
      <w:tr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板前套餐</w:t>
            </w:r>
          </w:p>
        </w:tc>
        <w:tc>
          <w:tcPr>
            <w:tcW w:type="dxa" w:w="1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提升确定性</w:t>
            </w:r>
          </w:p>
        </w:tc>
        <w:tc>
          <w:tcPr>
            <w:tcW w:type="dxa" w:w="37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主厨组合/双人套餐/季节菜单</w:t>
            </w:r>
          </w:p>
        </w:tc>
        <w:tc>
          <w:tcPr>
            <w:tcW w:type="dxa" w:w="24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客单价、预订率、翻台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酒水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利润与体验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清酒、梅酒、烧酎、Highball、精酿及无酒精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酒水连带率、毛利率</w:t>
            </w:r>
          </w:p>
        </w:tc>
      </w:tr>
      <w:tr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小食与主食</w:t>
            </w:r>
          </w:p>
        </w:tc>
        <w:tc>
          <w:tcPr>
            <w:tcW w:type="dxa" w:w="1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补足饱腹</w:t>
            </w:r>
          </w:p>
        </w:tc>
        <w:tc>
          <w:tcPr>
            <w:tcW w:type="dxa" w:w="37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冷菜、炭火小食、茶泡饭/饭团等</w:t>
            </w:r>
          </w:p>
        </w:tc>
        <w:tc>
          <w:tcPr>
            <w:tcW w:type="dxa" w:w="24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加购率、制作复杂度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包场/活动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非高峰增量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生日、品牌夜、主厨客座、湖畔小聚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场次、最低消费</w:t>
            </w:r>
          </w:p>
        </w:tc>
      </w:tr>
    </w:tbl>
    <w:p>
      <w:pPr>
        <w:pStyle w:val="Heading2"/>
        <w:keepNext/>
      </w:pPr>
      <w:r>
        <w:t>价格带建议（待菜单成本卡验证）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300"/>
        <w:gridCol w:w="2100"/>
        <w:gridCol w:w="49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建议客单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构成逻辑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轻量小聚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130—160元/人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烧鸟 + 小食 + 单杯酒/无酒精</w:t>
            </w:r>
          </w:p>
        </w:tc>
      </w:tr>
      <w:tr>
        <w:tc>
          <w:tcPr>
            <w:tcW w:type="dxa" w:w="2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标准晚餐</w:t>
            </w:r>
          </w:p>
        </w:tc>
        <w:tc>
          <w:tcPr>
            <w:tcW w:type="dxa" w:w="2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170—200元/人</w:t>
            </w:r>
          </w:p>
        </w:tc>
        <w:tc>
          <w:tcPr>
            <w:tcW w:type="dxa" w:w="49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烧鸟组合 + 主食/小食 + 1—2杯酒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板前体验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220—320元/人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主厨组合/限定食材 + 酒水搭配</w:t>
            </w:r>
          </w:p>
        </w:tc>
      </w:tr>
      <w:tr>
        <w:tc>
          <w:tcPr>
            <w:tcW w:type="dxa" w:w="2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包场/活动</w:t>
            </w:r>
          </w:p>
        </w:tc>
        <w:tc>
          <w:tcPr>
            <w:tcW w:type="dxa" w:w="2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按最低消费</w:t>
            </w:r>
          </w:p>
        </w:tc>
        <w:tc>
          <w:tcPr>
            <w:tcW w:type="dxa" w:w="49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座位占用、菜单、服务和内容价值综合定价</w:t>
            </w:r>
          </w:p>
        </w:tc>
      </w:tr>
    </w:tbl>
    <w:p>
      <w:pPr>
        <w:pStyle w:val="Heading2"/>
        <w:keepNext/>
      </w:pPr>
      <w:r>
        <w:t>收入结构目标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基准情景建议以烧鸟与食物收入约65%—72%、酒水约22%—30%、活动/周边约3%—8%作为初步目标。酒水并非附属项，应在菜单、服务话术和套餐设计中承担提升客单与毛利的职责。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菜单决策门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正式开业前必须完成逐品成本卡、标准克重、损耗率、出品时间和售价测试。若综合食材成本率长期高于32%或出品速度无法支持1.8翻台，应降低固定投资或调整经营模型。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空间容量与经营动线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整体平面布局_依据对话重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8A7764"/>
          <w:sz w:val="17"/>
        </w:rPr>
        <w:t>整体平面布局依据现有空间文件重绘；施工前仍需现场复尺与专业图纸确认。</w:t>
      </w:r>
    </w:p>
    <w:p>
      <w:pPr>
        <w:pStyle w:val="Heading2"/>
        <w:keepNext/>
      </w:pPr>
      <w:r>
        <w:t>现有空间骨架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现有依据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经营含义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主体尺寸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约11.6m × 4.9m × 3.2m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主体约57㎡，尺度紧凑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总包络</w:t>
            </w:r>
          </w:p>
        </w:tc>
        <w:tc>
          <w:tcPr>
            <w:tcW w:type="dxa" w:w="3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约72㎡</w:t>
            </w:r>
          </w:p>
        </w:tc>
        <w:tc>
          <w:tcPr>
            <w:tcW w:type="dxa" w:w="41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含平台/外部边界，需核实租赁与报审范围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左侧湖景吧台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约3.31m，约4席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面湖体验位，不可随意旋转或改为纵向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后侧沙发区</w:t>
            </w:r>
          </w:p>
        </w:tc>
        <w:tc>
          <w:tcPr>
            <w:tcW w:type="dxa" w:w="3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两组沙发同一抬高平台</w:t>
            </w:r>
          </w:p>
        </w:tc>
        <w:tc>
          <w:tcPr>
            <w:tcW w:type="dxa" w:w="41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形成慢社交与小团体场景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右侧板前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约5席，纵向面向师傅操作台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核心体验与出品效率区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右前展示冰箱</w:t>
            </w:r>
          </w:p>
        </w:tc>
        <w:tc>
          <w:tcPr>
            <w:tcW w:type="dxa" w:w="3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约2.0m × 0.9m</w:t>
            </w:r>
          </w:p>
        </w:tc>
        <w:tc>
          <w:tcPr>
            <w:tcW w:type="dxa" w:w="41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展示、点单与门面识别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整体标高</w:t>
            </w:r>
          </w:p>
        </w:tc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所有经营空间位于木台上，两级台阶下为道路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防滑、排水、无障碍与夜间照明需专项处理</w:t>
            </w:r>
          </w:p>
        </w:tc>
      </w:tr>
    </w:tbl>
    <w:p>
      <w:pPr>
        <w:pStyle w:val="Heading2"/>
        <w:keepNext/>
      </w:pPr>
      <w:r>
        <w:t>容量假设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财务模型暂按22个可经营座位测算，包含左侧吧台4席、板前5席及沙发区约13席的提案级假设。最终座位数必须在消防疏散、桌距、服务动线、设备开门和客人舒适度核定后调整。座位每减少1席，在基准客单价与翻台率下，成熟月收入约减少9,720元。</w:t>
      </w:r>
    </w:p>
    <w:p>
      <w:r>
        <w:br w:type="page"/>
      </w:r>
    </w:p>
    <w:p>
      <w:pPr>
        <w:pStyle w:val="Heading1"/>
        <w:keepNext/>
      </w:pPr>
      <w:r>
        <w:t>6. 商业模式与单位经济</w:t>
      </w:r>
    </w:p>
    <w:p>
      <w:pPr>
        <w:pStyle w:val="Heading2"/>
        <w:keepNext/>
      </w:pPr>
      <w:r>
        <w:t>收入公式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核心公式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月营业收入 = 可经营座位 × 日均翻台率 × 月营业天数 × 客单价。项目座位有限，价格与翻台任何一项偏离都会显著影响现金流。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200"/>
        <w:gridCol w:w="1200"/>
        <w:gridCol w:w="1050"/>
        <w:gridCol w:w="1250"/>
        <w:gridCol w:w="1650"/>
        <w:gridCol w:w="1650"/>
        <w:gridCol w:w="13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客单价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翻台率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月客流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月收入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月EBITDA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EBITDA率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审慎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160元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1.2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792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126,720元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-16,067元</w:t>
            </w:r>
          </w:p>
        </w:tc>
        <w:tc>
          <w:tcPr>
            <w:tcW w:type="dxa" w:w="1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-12.7%</w:t>
            </w:r>
          </w:p>
        </w:tc>
      </w:tr>
      <w:tr>
        <w:tc>
          <w:tcPr>
            <w:tcW w:type="dxa" w:w="12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基准</w:t>
            </w:r>
          </w:p>
        </w:tc>
        <w:tc>
          <w:tcPr>
            <w:tcW w:type="dxa" w:w="12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180元</w:t>
            </w:r>
          </w:p>
        </w:tc>
        <w:tc>
          <w:tcPr>
            <w:tcW w:type="dxa" w:w="10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1.8</w:t>
            </w:r>
          </w:p>
        </w:tc>
        <w:tc>
          <w:tcPr>
            <w:tcW w:type="dxa" w:w="12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1,188</w:t>
            </w:r>
          </w:p>
        </w:tc>
        <w:tc>
          <w:tcPr>
            <w:tcW w:type="dxa" w:w="16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213,840元</w:t>
            </w:r>
          </w:p>
        </w:tc>
        <w:tc>
          <w:tcPr>
            <w:tcW w:type="dxa" w:w="16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34,927元</w:t>
            </w:r>
          </w:p>
        </w:tc>
        <w:tc>
          <w:tcPr>
            <w:tcW w:type="dxa" w:w="13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16.3%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积极</w:t>
            </w:r>
          </w:p>
        </w:tc>
        <w:tc>
          <w:tcPr>
            <w:tcW w:type="dxa" w:w="1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195元</w:t>
            </w:r>
          </w:p>
        </w:tc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2.2</w:t>
            </w:r>
          </w:p>
        </w:tc>
        <w:tc>
          <w:tcPr>
            <w:tcW w:type="dxa" w:w="12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1,452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283,140元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71,288元</w:t>
            </w:r>
          </w:p>
        </w:tc>
        <w:tc>
          <w:tcPr>
            <w:tcW w:type="dxa" w:w="1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25.2%</w:t>
            </w:r>
          </w:p>
        </w:tc>
      </w:tr>
    </w:tbl>
    <w:p>
      <w:pPr>
        <w:keepNext w:val="0"/>
        <w:spacing w:before="0" w:after="120" w:line="320" w:lineRule="auto"/>
        <w:jc w:val="both"/>
      </w:pPr>
      <w:r>
        <w:rPr>
          <w:rFonts w:ascii="Microsoft YaHei" w:hAnsi="Microsoft YaHei" w:eastAsia="Microsoft YaHei"/>
          <w:b w:val="0"/>
          <w:i/>
          <w:color w:val="8A7764"/>
          <w:sz w:val="17"/>
        </w:rPr>
        <w:t>注：成熟月测算按22席、30天营业；食材成本率分别为35%/32%/30%，支付及税费简化为3.5%。固定费用按各情景设置。</w:t>
      </w:r>
    </w:p>
    <w:p>
      <w:pPr>
        <w:pStyle w:val="Heading2"/>
        <w:keepNext/>
      </w:pPr>
      <w:r>
        <w:t>基准月成本结构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200"/>
        <w:gridCol w:w="1800"/>
        <w:gridCol w:w="15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月金额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收入占比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控制动作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食材成本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约68,429元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32.0%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成本卡、损耗、采购与日清</w:t>
            </w:r>
          </w:p>
        </w:tc>
      </w:tr>
      <w:tr>
        <w:tc>
          <w:tcPr>
            <w:tcW w:type="dxa" w:w="22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人工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58,000元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27.1%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主厨产能、排班与一岗多能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租金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25,000元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11.7%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租约谈判与免租期</w:t>
            </w:r>
          </w:p>
        </w:tc>
      </w:tr>
      <w:tr>
        <w:tc>
          <w:tcPr>
            <w:tcW w:type="dxa" w:w="22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水电燃气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8,000元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3.7%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设备选型、峰谷与炭火/燃气管理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营销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5,000元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2.3%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以内容和会员复购替代长期投流</w:t>
            </w:r>
          </w:p>
        </w:tc>
      </w:tr>
      <w:tr>
        <w:tc>
          <w:tcPr>
            <w:tcW w:type="dxa" w:w="22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其他固定费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7,000元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3.3%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维修、耗材、软件、清洁等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支付/税费简化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约7,484元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3.5%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按真实主体与支付渠道替换</w:t>
            </w:r>
          </w:p>
        </w:tc>
      </w:tr>
      <w:tr>
        <w:tc>
          <w:tcPr>
            <w:tcW w:type="dxa" w:w="22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EBITDA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约34,927元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16.3%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成熟期目标，不代表承诺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开办投资与资金用途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现有装修预算表的建议档为838,062.40元，其中直接费748,270元、预备费12%。投资方案在此基础上增加租赁押付、证照培训、首批原料、开业营销和流动资金，形成示例总开办资金1,188,062.40元。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500"/>
        <w:gridCol w:w="1800"/>
        <w:gridCol w:w="1500"/>
        <w:gridCol w:w="35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装修类别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建议金额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占装修总额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核价重点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前期与设计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50,000元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6.0%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施工图、机电、排烟与报审范围</w:t>
            </w:r>
          </w:p>
        </w:tc>
      </w:tr>
      <w:tr>
        <w:tc>
          <w:tcPr>
            <w:tcW w:type="dxa" w:w="2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主体木构与平台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136,020元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16.2%</w:t>
            </w:r>
          </w:p>
        </w:tc>
        <w:tc>
          <w:tcPr>
            <w:tcW w:type="dxa" w:w="3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结构、防腐、排水、耐候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定制木作与空间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106,000元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12.6%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板前、吧台、沙发墙尺寸</w:t>
            </w:r>
          </w:p>
        </w:tc>
      </w:tr>
      <w:tr>
        <w:tc>
          <w:tcPr>
            <w:tcW w:type="dxa" w:w="2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水电与灯光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52,000元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6.2%</w:t>
            </w:r>
          </w:p>
        </w:tc>
        <w:tc>
          <w:tcPr>
            <w:tcW w:type="dxa" w:w="3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回路、容量、灯光分区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水路与灯光补项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13,000元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1.6%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与前项可能重叠，签约前去重</w:t>
            </w:r>
          </w:p>
        </w:tc>
      </w:tr>
      <w:tr>
        <w:tc>
          <w:tcPr>
            <w:tcW w:type="dxa" w:w="2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排烟消防与环保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95,000元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11.3%</w:t>
            </w:r>
          </w:p>
        </w:tc>
        <w:tc>
          <w:tcPr>
            <w:tcW w:type="dxa" w:w="3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高波动项，需专项方案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厨房与吧台设备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146,000元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17.4%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炉具、冷藏、洗消、吧台</w:t>
            </w:r>
          </w:p>
        </w:tc>
      </w:tr>
      <w:tr>
        <w:tc>
          <w:tcPr>
            <w:tcW w:type="dxa" w:w="2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家具软装与绿植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57,750元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6.9%</w:t>
            </w:r>
          </w:p>
        </w:tc>
        <w:tc>
          <w:tcPr>
            <w:tcW w:type="dxa" w:w="3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耐候、阻燃、可维护性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VI标识与开业物料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51,500元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6.1%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生产清单与首批数量</w:t>
            </w:r>
          </w:p>
        </w:tc>
      </w:tr>
      <w:tr>
        <w:tc>
          <w:tcPr>
            <w:tcW w:type="dxa" w:w="2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管理、运输与预留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41,000元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4.9%</w:t>
            </w:r>
          </w:p>
        </w:tc>
        <w:tc>
          <w:tcPr>
            <w:tcW w:type="dxa" w:w="3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现场管理及零星费用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装修预备费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89,792.40元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10.7%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不建议低于10%</w:t>
            </w:r>
          </w:p>
        </w:tc>
      </w:tr>
      <w:tr>
        <w:tc>
          <w:tcPr>
            <w:tcW w:type="dxa" w:w="2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装修建议总额</w:t>
            </w:r>
          </w:p>
        </w:tc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838,062.40元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100%</w:t>
            </w:r>
          </w:p>
        </w:tc>
        <w:tc>
          <w:tcPr>
            <w:tcW w:type="dxa" w:w="3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来自现有预算建议档</w:t>
            </w:r>
          </w:p>
        </w:tc>
      </w:tr>
    </w:tbl>
    <w:p>
      <w:pPr>
        <w:pStyle w:val="Heading2"/>
        <w:keepNext/>
      </w:pPr>
      <w:r>
        <w:t>装修之外的开办资金（示例）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示例金额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租赁押付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75,000元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按3个月 × 25,000元，待租约替换</w:t>
            </w:r>
          </w:p>
        </w:tc>
      </w:tr>
      <w:tr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证照/顾问/培训</w:t>
            </w:r>
          </w:p>
        </w:tc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30,000元</w:t>
            </w:r>
          </w:p>
        </w:tc>
        <w:tc>
          <w:tcPr>
            <w:tcW w:type="dxa" w:w="4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办证、食品安全与开业培训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首批原料与酒水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30,000元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首批铺货</w:t>
            </w:r>
          </w:p>
        </w:tc>
      </w:tr>
      <w:tr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开业营销</w:t>
            </w:r>
          </w:p>
        </w:tc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35,000元</w:t>
            </w:r>
          </w:p>
        </w:tc>
        <w:tc>
          <w:tcPr>
            <w:tcW w:type="dxa" w:w="4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试营业、内容与开业活动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流动资金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180,000元</w:t>
            </w:r>
          </w:p>
        </w:tc>
        <w:tc>
          <w:tcPr>
            <w:tcW w:type="dxa" w:w="4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覆盖爬坡期现金缺口</w:t>
            </w:r>
          </w:p>
        </w:tc>
      </w:tr>
      <w:tr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总开办资金</w:t>
            </w:r>
          </w:p>
        </w:tc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1,188,062.40元</w:t>
            </w:r>
          </w:p>
        </w:tc>
        <w:tc>
          <w:tcPr>
            <w:tcW w:type="dxa" w:w="4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装修建议总额 + 其他开办资金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预算红线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未完成排烟消防方案、木构结构与防腐做法、厨房设备清单、现场复尺和三家同口径报价前，不建议将83.81万元视为固定合同价。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三年经营与现金流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基准模型按2026年为起始经营年，第1—6月收入系数依次为60%、75%、85%、95%、95%、95%，第7月起达到成熟水平；第2年和第3年收入各增长5%，固定经营费用暂不增长。该口径有利于看清项目回本路径，但正式版本应加入工资、租金、水电和价格上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300"/>
        <w:gridCol w:w="1700"/>
        <w:gridCol w:w="1700"/>
        <w:gridCol w:w="1700"/>
        <w:gridCol w:w="19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第1年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第2年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第3年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三年合计/期末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营业收入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约236.3万元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约269.4万元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约282.8万元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约788.5万元</w:t>
            </w:r>
          </w:p>
        </w:tc>
      </w:tr>
      <w:tr>
        <w:tc>
          <w:tcPr>
            <w:tcW w:type="dxa" w:w="2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EBITDA</w:t>
            </w:r>
          </w:p>
        </w:tc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约28.8万元</w:t>
            </w:r>
          </w:p>
        </w:tc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约50.2万元</w:t>
            </w:r>
          </w:p>
        </w:tc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约58.9万元</w:t>
            </w:r>
          </w:p>
        </w:tc>
        <w:tc>
          <w:tcPr>
            <w:tcW w:type="dxa" w:w="19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约137.9万元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期末累计项目现金流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约-90.0万元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约-39.8万元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约19.1万元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约19.1万元</w:t>
            </w:r>
          </w:p>
        </w:tc>
      </w:tr>
      <w:tr>
        <w:tc>
          <w:tcPr>
            <w:tcW w:type="dxa" w:w="2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动态回本</w:t>
            </w:r>
          </w:p>
        </w:tc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未回本</w:t>
            </w:r>
          </w:p>
        </w:tc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未回本</w:t>
            </w:r>
          </w:p>
        </w:tc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约第33个月</w:t>
            </w:r>
          </w:p>
        </w:tc>
        <w:tc>
          <w:tcPr>
            <w:tcW w:type="dxa" w:w="19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模型期内回本</w:t>
            </w:r>
          </w:p>
        </w:tc>
      </w:tr>
    </w:tbl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/>
          <w:color w:val="8A7764"/>
          <w:sz w:val="17"/>
        </w:rPr>
        <w:t>以上年度值为基于当前示例假设的近似展示，最终应以配套Excel自动结果为准。</w:t>
      </w:r>
    </w:p>
    <w:p>
      <w:pPr>
        <w:pStyle w:val="Heading2"/>
        <w:keepNext/>
      </w:pPr>
      <w:r>
        <w:t>现金流管理重点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开业前：所有合同按“预算归类—付款节点—验收条件—质保”登记，避免重复采购。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爬坡期：每周滚动13周现金流，开业营销与人员扩张必须与预约数据联动。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成熟期：每月复盘客单、翻台、食材成本率、人工率、酒水连带率与现金余额。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触发机制：连续4周低于基准收入80%，立即启动菜单、排班、营业时段和营销纠偏。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回本并非唯一标准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项目还需考虑设备折旧、创始人工资、融资成本、所得税与退出价值。配套Excel当前用于项目经营可行性判断，不应直接当作对投资人的收益承诺。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融资需求与合作结构</w:t>
      </w:r>
    </w:p>
    <w:p>
      <w:pPr>
        <w:pStyle w:val="Heading2"/>
        <w:keepNext/>
      </w:pPr>
      <w:r>
        <w:t>资金需求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示例总开办资金为118.81万元。若采用“创始人资金70万元 + 外部股权48.81万元”的结构，可覆盖当前用途；实际融资额应在租约和清单报价锁定后调整。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300"/>
        <w:gridCol w:w="1500"/>
        <w:gridCol w:w="1500"/>
        <w:gridCol w:w="1300"/>
        <w:gridCol w:w="1900"/>
        <w:gridCol w:w="18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创始人资金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外部股权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债务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适用情况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主要风险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A 全自有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118.81万元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0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0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资金充足、重视控制权</w:t>
            </w:r>
          </w:p>
        </w:tc>
        <w:tc>
          <w:tcPr>
            <w:tcW w:type="dxa" w:w="1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现金集中投入</w:t>
            </w:r>
          </w:p>
        </w:tc>
      </w:tr>
      <w:tr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B 股权合作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70万元</w:t>
            </w:r>
          </w:p>
        </w:tc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48.81万元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0</w:t>
            </w:r>
          </w:p>
        </w:tc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引入资源型合作方</w:t>
            </w:r>
          </w:p>
        </w:tc>
        <w:tc>
          <w:tcPr>
            <w:tcW w:type="dxa" w:w="1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估值与治理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C 股债混合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60万元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35万元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23.81万元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降低单方现金投入</w:t>
            </w:r>
          </w:p>
        </w:tc>
        <w:tc>
          <w:tcPr>
            <w:tcW w:type="dxa" w:w="1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爬坡期偿债压力</w:t>
            </w:r>
          </w:p>
        </w:tc>
      </w:tr>
    </w:tbl>
    <w:p>
      <w:pPr>
        <w:pStyle w:val="Heading2"/>
        <w:keepNext/>
      </w:pPr>
      <w:r>
        <w:t>投资人合作价值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参与后湖目的地型夜间餐饮项目的首店验证。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获得品牌、空间、内容传播和本地资源协同的组合机会。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首店模型成熟后，可探索季节活动、联名、主厨客座与轻复制。</w:t>
      </w:r>
    </w:p>
    <w:p>
      <w:pPr>
        <w:pStyle w:val="Heading2"/>
        <w:keepNext/>
      </w:pPr>
      <w:r>
        <w:t>建议条款清单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议题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签约前必须明确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估值与股权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投资前估值、投资额、股权比例、交割条件</w:t>
            </w:r>
          </w:p>
        </w:tc>
      </w:tr>
      <w:tr>
        <w:tc>
          <w:tcPr>
            <w:tcW w:type="dxa" w:w="2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治理</w:t>
            </w:r>
          </w:p>
        </w:tc>
        <w:tc>
          <w:tcPr>
            <w:tcW w:type="dxa" w:w="7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董事/表决权、重大事项、印章与账户权限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经营责任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创始人全职义务、店长/主厨职责、预算权限</w:t>
            </w:r>
          </w:p>
        </w:tc>
      </w:tr>
      <w:tr>
        <w:tc>
          <w:tcPr>
            <w:tcW w:type="dxa" w:w="2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分红</w:t>
            </w:r>
          </w:p>
        </w:tc>
        <w:tc>
          <w:tcPr>
            <w:tcW w:type="dxa" w:w="7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先补足流动资金安全垫，再按可分配利润分红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追加投资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超预算、经营亏损和扩店时的资金义务</w:t>
            </w:r>
          </w:p>
        </w:tc>
      </w:tr>
      <w:tr>
        <w:tc>
          <w:tcPr>
            <w:tcW w:type="dxa" w:w="2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退出</w:t>
            </w:r>
          </w:p>
        </w:tc>
        <w:tc>
          <w:tcPr>
            <w:tcW w:type="dxa" w:w="7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转让、优先购买、回购、清算和违约机制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知识产权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品牌、VI、菜品、内容素材与账号归属</w:t>
            </w:r>
          </w:p>
        </w:tc>
      </w:tr>
    </w:tbl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/>
          <w:color w:val="9E2F25"/>
          <w:sz w:val="17"/>
        </w:rPr>
        <w:t>提示：本方案不构成法律、证券或税务意见，正式投资协议应由专业律师与税务顾问审阅。</w:t>
      </w:r>
    </w:p>
    <w:p>
      <w:r>
        <w:br w:type="page"/>
      </w:r>
    </w:p>
    <w:p>
      <w:pPr>
        <w:pStyle w:val="Heading1"/>
        <w:keepNext/>
      </w:pPr>
      <w:r>
        <w:t>10. 组织、人员与运营体系</w:t>
      </w:r>
    </w:p>
    <w:p>
      <w:pPr>
        <w:pStyle w:val="Heading2"/>
        <w:keepNext/>
      </w:pPr>
      <w:r>
        <w:t>建议开业团队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900"/>
        <w:gridCol w:w="1300"/>
        <w:gridCol w:w="3600"/>
        <w:gridCol w:w="25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建议人数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关键指标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店长/运营负责人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经营、排班、服务、现金与复盘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收入、人工率、评分、复购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主厨/烧鸟师傅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</w:t>
            </w:r>
          </w:p>
        </w:tc>
        <w:tc>
          <w:tcPr>
            <w:tcW w:type="dxa" w:w="3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菜单、备货、火候、食品安全</w:t>
            </w:r>
          </w:p>
        </w:tc>
        <w:tc>
          <w:tcPr>
            <w:tcW w:type="dxa" w:w="2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毛利、出品速度、损耗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烧鸟副手/后厨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1—2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备货、串制、洗消、协助出品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产能、卫生、损耗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吧台/酒水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</w:t>
            </w:r>
          </w:p>
        </w:tc>
        <w:tc>
          <w:tcPr>
            <w:tcW w:type="dxa" w:w="3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酒水、饮品、板前协同</w:t>
            </w:r>
          </w:p>
        </w:tc>
        <w:tc>
          <w:tcPr>
            <w:tcW w:type="dxa" w:w="2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酒水连带率、出品速度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前厅服务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1—2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接待、点单、传菜、会员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翻台、客诉、会员沉淀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兼职/高峰支援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按需</w:t>
            </w:r>
          </w:p>
        </w:tc>
        <w:tc>
          <w:tcPr>
            <w:tcW w:type="dxa" w:w="3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周末、节假日和活动支援</w:t>
            </w:r>
          </w:p>
        </w:tc>
        <w:tc>
          <w:tcPr>
            <w:tcW w:type="dxa" w:w="25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小时产出</w:t>
            </w:r>
          </w:p>
        </w:tc>
      </w:tr>
    </w:tbl>
    <w:p>
      <w:pPr>
        <w:pStyle w:val="Heading2"/>
        <w:keepNext/>
      </w:pPr>
      <w:r>
        <w:t>必须建立的SOP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采购、收货、储存、解冻、串制、留样与报损。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板前与后厨备货量、出品顺序、峰值产能和交叉污染控制。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开档/收档、炭火/燃气、电气、排烟、消防与夜间安全。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预约、候位、桌位分配、套餐推荐、酒水搭配与客诉处理。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日营业报表、现金盘点、库存盘点、周经营复盘和月度预算。</w:t>
      </w:r>
    </w:p>
    <w:p>
      <w:pPr>
        <w:pStyle w:val="Heading2"/>
        <w:keepNext/>
      </w:pPr>
      <w:r>
        <w:t>经营仪表盘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预警线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每日</w:t>
            </w:r>
          </w:p>
        </w:tc>
        <w:tc>
          <w:tcPr>
            <w:tcW w:type="dxa" w:w="4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客流、客单、收入、翻台、酒水连带、报损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连续3天低于排班收入目标</w:t>
            </w:r>
          </w:p>
        </w:tc>
      </w:tr>
      <w:tr>
        <w:tc>
          <w:tcPr>
            <w:tcW w:type="dxa" w:w="1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每周</w:t>
            </w:r>
          </w:p>
        </w:tc>
        <w:tc>
          <w:tcPr>
            <w:tcW w:type="dxa" w:w="45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预约率、复购、平台评分、食材成本、人工工时</w:t>
            </w:r>
          </w:p>
        </w:tc>
        <w:tc>
          <w:tcPr>
            <w:tcW w:type="dxa" w:w="33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收入低于基准80%或成本率&gt;35%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每月</w:t>
            </w:r>
          </w:p>
        </w:tc>
        <w:tc>
          <w:tcPr>
            <w:tcW w:type="dxa" w:w="45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EBITDA、现金余额、会员复购、营销效率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现金低于2个月固定费用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11. 获客、开业与增长计划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7256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物料效果总览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25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8A7764"/>
          <w:sz w:val="17"/>
        </w:rPr>
        <w:t>现有空间应用物料体系可直接支持开业传播与到店体验。</w:t>
      </w:r>
    </w:p>
    <w:p>
      <w:pPr>
        <w:pStyle w:val="Heading2"/>
        <w:keepNext/>
      </w:pPr>
      <w:r>
        <w:t>开业前30天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建立官方账号视觉模板，持续发布空间施工、炭火测试、主厨与后湖夜景。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建立预约名单与种子客群，邀请本地餐饮、设计、文旅与生活方式社群。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开展不少于3轮菜单内测，记录客单、出品时长、损耗与反馈。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把门头、灯箱、菜单、制服、杯具、包装和社交媒体统一到现有VI系统。</w:t>
      </w:r>
    </w:p>
    <w:p>
      <w:pPr>
        <w:pStyle w:val="Heading2"/>
        <w:keepNext/>
      </w:pPr>
      <w:r>
        <w:t>试营业14天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客流策略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验证目标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第1—3天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内部邀请、小规模预约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出品动线、设备、服务脚本</w:t>
            </w:r>
          </w:p>
        </w:tc>
      </w:tr>
      <w:tr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第4—7天</w:t>
            </w:r>
          </w:p>
        </w:tc>
        <w:tc>
          <w:tcPr>
            <w:tcW w:type="dxa" w:w="3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50%—70%座位开放</w:t>
            </w:r>
          </w:p>
        </w:tc>
        <w:tc>
          <w:tcPr>
            <w:tcW w:type="dxa" w:w="44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客单、翻台、食材成本、客诉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第8—14天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接近正常营业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峰值产能、预约率、酒水连带、复购意向</w:t>
            </w:r>
          </w:p>
        </w:tc>
      </w:tr>
    </w:tbl>
    <w:p>
      <w:pPr>
        <w:pStyle w:val="Heading2"/>
        <w:keepNext/>
      </w:pPr>
      <w:r>
        <w:t>开业后90天增长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会员：用预约、生日、季节菜单和限定酒水沉淀高频客群。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内容：围绕后湖夜色、师傅火候、部位知识和客人故事持续生产。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联名：与本地酒饮、设计、音乐、户外与文旅品牌做低频高质量合作。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活动：利用非高峰时段开展主厨客座、烧鸟课堂、小型品牌夜与包场。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营销原则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项目的核心传播素材就在空间、湖景、火候和人。开业投放应服务于预约和复购，不建议长期依赖折扣团购来填充座位。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12. 实施进度与里程碑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建议以18周为开业目标，工期从投资决议和租约条件满足后起算。排烟消防、木作深化和设备交期可能成为关键路径。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700"/>
        <w:gridCol w:w="1300"/>
        <w:gridCol w:w="4100"/>
        <w:gridCol w:w="22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关键交付物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决策门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投资决策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W1—W2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租约、预算上限、资金结构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是否进入深化</w:t>
            </w:r>
          </w:p>
        </w:tc>
      </w:tr>
      <w:tr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深化设计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W2—W5</w:t>
            </w:r>
          </w:p>
        </w:tc>
        <w:tc>
          <w:tcPr>
            <w:tcW w:type="dxa" w:w="4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施工图、机电、排烟、厨房、VI落位</w:t>
            </w:r>
          </w:p>
        </w:tc>
        <w:tc>
          <w:tcPr>
            <w:tcW w:type="dxa" w:w="2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布局与合规锁定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报价采购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W4—W6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三家清单报价、设备下单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预算是否可控</w:t>
            </w:r>
          </w:p>
        </w:tc>
      </w:tr>
      <w:tr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基础施工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W6—W10</w:t>
            </w:r>
          </w:p>
        </w:tc>
        <w:tc>
          <w:tcPr>
            <w:tcW w:type="dxa" w:w="4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平台、木构、水电、排烟、消防</w:t>
            </w:r>
          </w:p>
        </w:tc>
        <w:tc>
          <w:tcPr>
            <w:tcW w:type="dxa" w:w="2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隐蔽工程验收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木作设备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W9—W13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板前、吧台、沙发区、厨房设备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尺寸与动线复核</w:t>
            </w:r>
          </w:p>
        </w:tc>
      </w:tr>
      <w:tr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软装VI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W12—W15</w:t>
            </w:r>
          </w:p>
        </w:tc>
        <w:tc>
          <w:tcPr>
            <w:tcW w:type="dxa" w:w="4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灯光、窗帘、绿植、标识、菜单</w:t>
            </w:r>
          </w:p>
        </w:tc>
        <w:tc>
          <w:tcPr>
            <w:tcW w:type="dxa" w:w="2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品牌一致性验收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团队供应链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W12—W16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招聘、培训、成本卡、供应商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毛利与产能达标</w:t>
            </w:r>
          </w:p>
        </w:tc>
      </w:tr>
      <w:tr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联调验收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W15—W17</w:t>
            </w:r>
          </w:p>
        </w:tc>
        <w:tc>
          <w:tcPr>
            <w:tcW w:type="dxa" w:w="4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设备、消防、卫生、全流程测试</w:t>
            </w:r>
          </w:p>
        </w:tc>
        <w:tc>
          <w:tcPr>
            <w:tcW w:type="dxa" w:w="2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具备试营业条件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试营业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W17—W18</w:t>
            </w:r>
          </w:p>
        </w:tc>
        <w:tc>
          <w:tcPr>
            <w:tcW w:type="dxa" w:w="41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数据复盘与整改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是否正式开业</w:t>
            </w:r>
          </w:p>
        </w:tc>
      </w:tr>
      <w:tr>
        <w:tc>
          <w:tcPr>
            <w:tcW w:type="dxa" w:w="17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正式开业</w:t>
            </w:r>
          </w:p>
        </w:tc>
        <w:tc>
          <w:tcPr>
            <w:tcW w:type="dxa" w:w="1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W18起</w:t>
            </w:r>
          </w:p>
        </w:tc>
        <w:tc>
          <w:tcPr>
            <w:tcW w:type="dxa" w:w="41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经营周报与月报</w:t>
            </w:r>
          </w:p>
        </w:tc>
        <w:tc>
          <w:tcPr>
            <w:tcW w:type="dxa" w:w="2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进入90天验证期</w:t>
            </w:r>
          </w:p>
        </w:tc>
      </w:tr>
    </w:tbl>
    <w:p>
      <w:pPr>
        <w:pStyle w:val="Heading2"/>
        <w:keepNext/>
      </w:pPr>
      <w:r>
        <w:t>付款与验收原则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付款节点与可验收的实物/工程量绑定，不以时间自然经过作为唯一条件。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隐蔽工程必须留照片、测试记录和签字；设备需保留型号、序列号与质保。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任何变更先出变更单，写明原因、金额、工期和责任人，再实施。</w:t>
      </w:r>
    </w:p>
    <w:p>
      <w:r>
        <w:br w:type="page"/>
      </w:r>
    </w:p>
    <w:p>
      <w:pPr>
        <w:pStyle w:val="Heading1"/>
        <w:keepNext/>
      </w:pPr>
      <w:r>
        <w:t>13. 风险清单与应对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1800"/>
        <w:gridCol w:w="950"/>
        <w:gridCol w:w="950"/>
        <w:gridCol w:w="2450"/>
        <w:gridCol w:w="32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可能性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预警信号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应对措施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租约/外摆/排烟权利不清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高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房东口头承诺、无法报审</w:t>
            </w:r>
          </w:p>
        </w:tc>
        <w:tc>
          <w:tcPr>
            <w:tcW w:type="dxa" w:w="321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书面写入租约与交割条件</w:t>
            </w:r>
          </w:p>
        </w:tc>
      </w:tr>
      <w:tr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消防、环保、食品许可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高</w:t>
            </w:r>
          </w:p>
        </w:tc>
        <w:tc>
          <w:tcPr>
            <w:tcW w:type="dxa" w:w="24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方案反复、审批不确定</w:t>
            </w:r>
          </w:p>
        </w:tc>
        <w:tc>
          <w:tcPr>
            <w:tcW w:type="dxa" w:w="321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开工前专业预审，预留整改费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木构与户外耐候超支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中高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含水率、结构、防腐做法模糊</w:t>
            </w:r>
          </w:p>
        </w:tc>
        <w:tc>
          <w:tcPr>
            <w:tcW w:type="dxa" w:w="321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样板、材料清单、节点验收</w:t>
            </w:r>
          </w:p>
        </w:tc>
      </w:tr>
      <w:tr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排烟影响邻里/体验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高</w:t>
            </w:r>
          </w:p>
        </w:tc>
        <w:tc>
          <w:tcPr>
            <w:tcW w:type="dxa" w:w="24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异味、噪声、补风不足</w:t>
            </w:r>
          </w:p>
        </w:tc>
        <w:tc>
          <w:tcPr>
            <w:tcW w:type="dxa" w:w="321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专项设计、设备测试、维护计划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座位少导致收入不足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中高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高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预约低、低翻台、低客单</w:t>
            </w:r>
          </w:p>
        </w:tc>
        <w:tc>
          <w:tcPr>
            <w:tcW w:type="dxa" w:w="321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套餐、酒水、预约制、活动增量</w:t>
            </w:r>
          </w:p>
        </w:tc>
      </w:tr>
      <w:tr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主厨依赖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高</w:t>
            </w:r>
          </w:p>
        </w:tc>
        <w:tc>
          <w:tcPr>
            <w:tcW w:type="dxa" w:w="24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只有一人掌握配方/火候</w:t>
            </w:r>
          </w:p>
        </w:tc>
        <w:tc>
          <w:tcPr>
            <w:tcW w:type="dxa" w:w="321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标准化、培训、副手梯队与激励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食材损耗与毛利波动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中高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成本率&gt;35%、报损高</w:t>
            </w:r>
          </w:p>
        </w:tc>
        <w:tc>
          <w:tcPr>
            <w:tcW w:type="dxa" w:w="321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日清、成本卡、采购与备货模型</w:t>
            </w:r>
          </w:p>
        </w:tc>
      </w:tr>
      <w:tr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天气与淡旺季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高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24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雨天客流明显下降</w:t>
            </w:r>
          </w:p>
        </w:tc>
        <w:tc>
          <w:tcPr>
            <w:tcW w:type="dxa" w:w="321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预订、遮雨舒适度、淡季活动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现金流断裂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高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现金&lt;2个月固定费用</w:t>
            </w:r>
          </w:p>
        </w:tc>
        <w:tc>
          <w:tcPr>
            <w:tcW w:type="dxa" w:w="321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18万元流动资金、13周现金流</w:t>
            </w:r>
          </w:p>
        </w:tc>
      </w:tr>
      <w:tr>
        <w:tc>
          <w:tcPr>
            <w:tcW w:type="dxa" w:w="18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品牌图文与实际体验落差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9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中</w:t>
            </w:r>
          </w:p>
        </w:tc>
        <w:tc>
          <w:tcPr>
            <w:tcW w:type="dxa" w:w="24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评价集中在服务/出品不稳</w:t>
            </w:r>
          </w:p>
        </w:tc>
        <w:tc>
          <w:tcPr>
            <w:tcW w:type="dxa" w:w="321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先运营后放量，真实内容传播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最高优先级风险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租约权利、排烟消防、座位产出、主厨依赖与现金流，是五个必须由负责人每周跟踪的项目级风险。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14. 投资决策门与下一步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建议把项目从“设计完成”切换到“可投资验证”状态。以下决策门不是形式流程，而是保护总投资与后续合作关系的必要条件。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900"/>
        <w:gridCol w:w="1900"/>
        <w:gridCol w:w="4300"/>
        <w:gridCol w:w="22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决策门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未通过时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租约与经营边界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租金、期限、免租、外摆、排烟、招牌与改造权书面确认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暂停签约或调整总投资</w:t>
            </w:r>
          </w:p>
        </w:tc>
      </w:tr>
      <w:tr>
        <w:tc>
          <w:tcPr>
            <w:tcW w:type="dxa" w:w="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2</w:t>
            </w:r>
          </w:p>
        </w:tc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合规预审</w:t>
            </w:r>
          </w:p>
        </w:tc>
        <w:tc>
          <w:tcPr>
            <w:tcW w:type="dxa" w:w="4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消防、排烟、环保、食品经营路径明确</w:t>
            </w:r>
          </w:p>
        </w:tc>
        <w:tc>
          <w:tcPr>
            <w:tcW w:type="dxa" w:w="2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调整布局/设备或放弃点位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3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清单报价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三家同口径报价，差异可解释，预备费≥10%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优化范围、重新报价</w:t>
            </w:r>
          </w:p>
        </w:tc>
      </w:tr>
      <w:tr>
        <w:tc>
          <w:tcPr>
            <w:tcW w:type="dxa" w:w="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4</w:t>
            </w:r>
          </w:p>
        </w:tc>
        <w:tc>
          <w:tcPr>
            <w:tcW w:type="dxa" w:w="19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菜单模型</w:t>
            </w:r>
          </w:p>
        </w:tc>
        <w:tc>
          <w:tcPr>
            <w:tcW w:type="dxa" w:w="43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成本卡支持综合食材成本率≤32%，峰值产能可实现</w:t>
            </w:r>
          </w:p>
        </w:tc>
        <w:tc>
          <w:tcPr>
            <w:tcW w:type="dxa" w:w="22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调整菜单、设备和排班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5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试营业验证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客单、翻台、评分、酒水连带与出品达到基准下限</w:t>
            </w:r>
          </w:p>
        </w:tc>
        <w:tc>
          <w:tcPr>
            <w:tcW w:type="dxa" w:w="22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延长试营业，暂缓放量</w:t>
            </w:r>
          </w:p>
        </w:tc>
      </w:tr>
    </w:tbl>
    <w:p>
      <w:pPr>
        <w:pStyle w:val="Heading2"/>
        <w:keepNext/>
      </w:pPr>
      <w:r>
        <w:t>未来30天行动清单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完成租约条件清单，并由房东对排烟、招牌、外摆和改造权书面确认。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委托专业单位完成消防、排烟、环保和食品经营合规预审。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将现有设计转为同口径工程量清单，邀请至少三家报价。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锁定核心菜单20—30个SKU，完成成本卡、出品时间与峰值产能测试。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确定创始人投入上限与外部融资目标，形成投资协议条款清单。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Microsoft YaHei" w:hAnsi="Microsoft YaHei" w:eastAsia="Microsoft YaHei"/>
          <w:color w:val="181614"/>
          <w:sz w:val="20"/>
        </w:rPr>
        <w:t>建立18周项目排期、付款台账、变更台账与每周决策会议。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最终建议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按基准示例，项目在成熟期具有可接受的经营利润，但审慎情景亏损明显。建议先用低成本验证降低关键不确定性，再投入不可逆的木构、排烟、厨房和定制木作资金。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附录A｜关键假设与可修改项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000"/>
        <w:gridCol w:w="2000"/>
        <w:gridCol w:w="2600"/>
        <w:gridCol w:w="27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当前示例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修改位置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正式依据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座位数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22位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Excel｜经营假设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施工深化与消防核定</w:t>
            </w:r>
          </w:p>
        </w:tc>
      </w:tr>
      <w:tr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营业天数</w:t>
            </w:r>
          </w:p>
        </w:tc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30天/月</w:t>
            </w:r>
          </w:p>
        </w:tc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Excel｜经营假设</w:t>
            </w:r>
          </w:p>
        </w:tc>
        <w:tc>
          <w:tcPr>
            <w:tcW w:type="dxa" w:w="27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实际营业安排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客单价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160/180/195元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Excel｜经营假设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菜单与试营业数据</w:t>
            </w:r>
          </w:p>
        </w:tc>
      </w:tr>
      <w:tr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翻台率</w:t>
            </w:r>
          </w:p>
        </w:tc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1.2/1.8/2.2</w:t>
            </w:r>
          </w:p>
        </w:tc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Excel｜经营假设</w:t>
            </w:r>
          </w:p>
        </w:tc>
        <w:tc>
          <w:tcPr>
            <w:tcW w:type="dxa" w:w="27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预约与试营业数据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食材成本率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35%/32%/30%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Excel｜经营假设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逐品成本卡</w:t>
            </w:r>
          </w:p>
        </w:tc>
      </w:tr>
      <w:tr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月租金</w:t>
            </w:r>
          </w:p>
        </w:tc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25,000元</w:t>
            </w:r>
          </w:p>
        </w:tc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Excel｜经营假设/开办投资</w:t>
            </w:r>
          </w:p>
        </w:tc>
        <w:tc>
          <w:tcPr>
            <w:tcW w:type="dxa" w:w="27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正式租赁合同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月人工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52,000—65,000元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Excel｜经营假设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排班与薪酬方案</w:t>
            </w:r>
          </w:p>
        </w:tc>
      </w:tr>
      <w:tr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装修建议额</w:t>
            </w:r>
          </w:p>
        </w:tc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838,062.40元</w:t>
            </w:r>
          </w:p>
        </w:tc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Excel｜开办投资</w:t>
            </w:r>
          </w:p>
        </w:tc>
        <w:tc>
          <w:tcPr>
            <w:tcW w:type="dxa" w:w="27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三家清单报价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流动资金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180,000元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Excel｜开办投资</w:t>
            </w:r>
          </w:p>
        </w:tc>
        <w:tc>
          <w:tcPr>
            <w:tcW w:type="dxa" w:w="27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爬坡期现金缺口</w:t>
            </w:r>
          </w:p>
        </w:tc>
      </w:tr>
      <w:tr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收入增长</w:t>
            </w:r>
          </w:p>
        </w:tc>
        <w:tc>
          <w:tcPr>
            <w:tcW w:type="dxa" w:w="2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第2/3年各5%</w:t>
            </w:r>
          </w:p>
        </w:tc>
        <w:tc>
          <w:tcPr>
            <w:tcW w:type="dxa" w:w="26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Excel｜月度经营模型</w:t>
            </w:r>
          </w:p>
        </w:tc>
        <w:tc>
          <w:tcPr>
            <w:tcW w:type="dxa" w:w="27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6"/>
              </w:rPr>
              <w:t>经营计划</w:t>
            </w:r>
          </w:p>
        </w:tc>
      </w:tr>
    </w:tbl>
    <w:p>
      <w:pPr>
        <w:pStyle w:val="Heading2"/>
        <w:keepNext/>
      </w:pPr>
      <w:r>
        <w:t>模型边界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未计折旧、摊销、融资利息、所得税与股东个人税负。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未计可能的转让费、品牌授权费、重大结构加固和不可预见审批成本。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第2、3年固定成本未增长，正式模型应加入工资、租金与能源涨幅。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回本按项目累计经营现金流计算，不等同于投资人股权退出收益。</w:t>
      </w:r>
    </w:p>
    <w:p>
      <w:r>
        <w:br w:type="page"/>
      </w:r>
    </w:p>
    <w:p>
      <w:pPr>
        <w:pStyle w:val="Heading1"/>
        <w:keepNext/>
      </w:pPr>
      <w:r>
        <w:t>附录B｜资料来源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/>
          <w:i w:val="0"/>
          <w:color w:val="5A3822"/>
          <w:sz w:val="21"/>
        </w:rPr>
        <w:t>项目内部资料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00_项目总览/项目总说明_最终整理版.md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00_项目总览/游味烧鸟_装修预算表_提案模板.xlsx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01_品牌定位/品牌定位与故事_最终整理版.md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03_VI视觉系统/05_最终空间融合版_V3/03_游味烧鸟_V3_视觉规范说明.md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04_空间应用物料/应用物料清单_最终整理版.md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05_施工参考/空间布局与板前动线_最终整理版.md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05_施工参考/材料灯光与施工建议_最终整理版.md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05_施工参考/SketchUp模型分析/改造方案_空间骨架分析结论.md</w:t>
      </w:r>
    </w:p>
    <w:p>
      <w:pPr>
        <w:pStyle w:val="ListBullet"/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181614"/>
          <w:sz w:val="20"/>
        </w:rPr>
        <w:t>06_后续深化清单/下一阶段工作清单.md</w:t>
      </w:r>
    </w:p>
    <w:p>
      <w:pPr>
        <w:keepNext w:val="0"/>
        <w:spacing w:before="100" w:after="140" w:line="320" w:lineRule="auto"/>
        <w:jc w:val="both"/>
      </w:pPr>
      <w:r>
        <w:rPr>
          <w:rFonts w:ascii="Microsoft YaHei" w:hAnsi="Microsoft YaHei" w:eastAsia="Microsoft YaHei"/>
          <w:b/>
          <w:i w:val="0"/>
          <w:color w:val="5A3822"/>
          <w:sz w:val="21"/>
        </w:rPr>
        <w:t>外部公开资料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资料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网址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长沙市2025年经济统计（餐饮收入）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https://tjj.hunan.gov.cn/hntj/tjfx/tjgb/szgb/zss_1/202605/t20260512_33975356.html</w:t>
            </w:r>
          </w:p>
        </w:tc>
      </w:tr>
      <w:tr>
        <w:tc>
          <w:tcPr>
            <w:tcW w:type="dxa" w:w="3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长沙2025年五一假期文旅数据</w:t>
            </w:r>
          </w:p>
        </w:tc>
        <w:tc>
          <w:tcPr>
            <w:tcW w:type="dxa" w:w="63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https://whhlyt.hunan.gov.cn/whhlyt/news/sxxw/202505/t20250506_33662387.html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湖南2025年经济统计（餐饮收入）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https://tjj.hunan.gov.cn/hntj/tjgz/mthntj/202603/t20260326_33941937.html</w:t>
            </w:r>
          </w:p>
        </w:tc>
      </w:tr>
      <w:tr>
        <w:tc>
          <w:tcPr>
            <w:tcW w:type="dxa" w:w="3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湖南2025年旅游数据</w:t>
            </w:r>
          </w:p>
        </w:tc>
        <w:tc>
          <w:tcPr>
            <w:tcW w:type="dxa" w:w="63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https://whhlyt.hunan.gov.cn/whhlyt/news/mtjj/202601/t20260119_33895615.html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长沙餐饮装修市场单价参照（非官方）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https://www.chinapp.net.cn/pinpaidongtai/2026/0706/67872.html</w:t>
            </w:r>
          </w:p>
        </w:tc>
      </w:tr>
      <w:tr>
        <w:tc>
          <w:tcPr>
            <w:tcW w:type="dxa" w:w="30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排烟消防改造市场参照（非官方）</w:t>
            </w:r>
          </w:p>
        </w:tc>
        <w:tc>
          <w:tcPr>
            <w:tcW w:type="dxa" w:w="63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https://www.75xz.com/case/changsha_case1/47389.html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防腐木平台/木构市场参照（非官方）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5"/>
              </w:rPr>
              <w:t>https://m.81qt.com/nd.jsp?id=3804</w:t>
            </w:r>
          </w:p>
        </w:tc>
      </w:tr>
    </w:tbl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/>
          <w:color w:val="8A7764"/>
          <w:sz w:val="17"/>
        </w:rPr>
        <w:t>访问日期：2026年8月10日。供应商类资料只用于识别成本波动项，不作为正式报价依据。</w:t>
      </w:r>
    </w:p>
    <w:p>
      <w:r>
        <w:br w:type="page"/>
      </w:r>
    </w:p>
    <w:p>
      <w:pPr>
        <w:pStyle w:val="Heading1"/>
        <w:keepNext/>
      </w:pPr>
      <w:r>
        <w:t>附录C｜投资人会议记录页</w:t>
      </w:r>
    </w:p>
    <w:p>
      <w:pPr>
        <w:keepNext w:val="0"/>
        <w:spacing w:before="0" w:after="14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  <w:t>本页可直接在Word中填写，用于把讨论结论转为可执行事项。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C7B5"/>
          <w:left w:val="single" w:sz="6" w:color="D5C7B5"/>
          <w:bottom w:val="single" w:sz="6" w:color="D5C7B5"/>
          <w:right w:val="single" w:sz="6" w:color="D5C7B5"/>
          <w:insideH w:val="single" w:sz="6" w:color="D5C7B5"/>
          <w:insideV w:val="single" w:sz="6" w:color="D5C7B5"/>
        </w:tblBorders>
      </w:tblPr>
      <w:tblGrid>
        <w:gridCol w:w="2400"/>
        <w:gridCol w:w="3860"/>
        <w:gridCol w:w="1550"/>
        <w:gridCol w:w="155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结论/待补信息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A3822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截止日期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投资金额与资金到位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</w:tr>
      <w:tr>
        <w:tc>
          <w:tcPr>
            <w:tcW w:type="dxa" w:w="24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租约与合规条件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预算上限与预备费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</w:tr>
      <w:tr>
        <w:tc>
          <w:tcPr>
            <w:tcW w:type="dxa" w:w="24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股权/债务结构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经营团队与主厨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</w:tr>
      <w:tr>
        <w:tc>
          <w:tcPr>
            <w:tcW w:type="dxa" w:w="240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开业时间与决策门</w:t>
            </w:r>
          </w:p>
        </w:tc>
        <w:tc>
          <w:tcPr>
            <w:tcW w:type="dxa" w:w="386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  <w:shd w:fill="F7F1E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  <w:t>下次会议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81614"/>
                <w:sz w:val="17"/>
              </w:rPr>
            </w:r>
          </w:p>
        </w:tc>
      </w:tr>
    </w:tbl>
    <w:p>
      <w:pPr>
        <w:keepNext w:val="0"/>
        <w:spacing w:before="0" w:after="20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</w:r>
    </w:p>
    <w:p>
      <w:pPr>
        <w:keepNext w:val="0"/>
        <w:spacing w:before="0" w:after="20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</w:r>
    </w:p>
    <w:p>
      <w:pPr>
        <w:keepNext w:val="0"/>
        <w:spacing w:before="0" w:after="20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</w:r>
    </w:p>
    <w:p>
      <w:pPr>
        <w:keepNext w:val="0"/>
        <w:spacing w:before="0" w:after="20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</w:r>
    </w:p>
    <w:p>
      <w:pPr>
        <w:keepNext w:val="0"/>
        <w:spacing w:before="0" w:after="20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181614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3E9D7"/>
          <w:left w:val="single" w:sz="0" w:color="F3E9D7"/>
          <w:bottom w:val="single" w:sz="0" w:color="F3E9D7"/>
          <w:right w:val="single" w:sz="0" w:color="F3E9D7"/>
          <w:insideH w:val="single" w:sz="0" w:color="F3E9D7"/>
          <w:insideV w:val="single" w:sz="0" w:color="F3E9D7"/>
        </w:tblBorders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28A32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9D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5A3822"/>
                <w:sz w:val="21"/>
              </w:rPr>
              <w:t>配套文件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181614"/>
                <w:sz w:val="19"/>
              </w:rPr>
              <w:t>《游味烧鸟_项目投资测算模型_可编辑版.xlsx》包含开办投资、三种经营情景、36个月经营模型、三年现金流、敏感性分析、融资方案、实施计划和模型检查。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A7764"/>
        <w:sz w:val="16"/>
      </w:rPr>
      <w:t xml:space="preserve">机密｜仅供项目投资讨论  ·  </w:t>
    </w:r>
    <w:r>
      <w:rPr>
        <w:rFonts w:ascii="Microsoft YaHei" w:hAnsi="Microsoft YaHei" w:eastAsia="Microsoft YaHei"/>
        <w:color w:val="8A77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2" w:color="D28A32"/>
      </w:pBdr>
    </w:pPr>
    <w:r>
      <w:rPr>
        <w:rFonts w:ascii="Microsoft YaHei" w:hAnsi="Microsoft YaHei" w:eastAsia="Microsoft YaHei"/>
        <w:b/>
        <w:color w:val="8A7764"/>
        <w:sz w:val="16"/>
      </w:rPr>
      <w:t>游味烧鸟  |  项目投资方案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A38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4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游味烧鸟｜项目投资方案</dc:title>
  <dc:subject>后湖湖畔木构烧鸟项目投资决策与融资提案</dc:subject>
  <dc:creator>游味烧鸟项目组</dc:creator>
  <cp:keywords/>
  <dc:description>可编辑提案版；配套Excel模型驱动财务数据。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