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Microsoft YaHei" w:cs="Calibri"/>
        </w:rPr>
        <w:t>杯具、杯套与外带包装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纸杯：茶白或湖水青底，小号圆章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杯套：湖水青/木原褐，文案“一串炭火，一晚湖风”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手提袋：原色牛皮纸或暖肌纸，黑色书法标准组合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外卖盒：炭火黑盒身＋暖阳橙封签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礼盒：原木褐/茶白组合，湖纹只放在侧面或内衬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油墨：食品接触安全大豆油墨或水性油墨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结构：考虑防油、防潮、通风与冷热分装</w:t>
      </w:r>
    </w:p>
    <w:p>
      <w:r>
        <w:rPr>
          <w:rFonts w:ascii="Calibri" w:hAnsi="Calibri" w:eastAsia="Microsoft YaHei" w:cs="Calibri"/>
        </w:rPr>
        <w:t>包装优先使用圆章、湖纹和红印，不叠加旧版辅助图形。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 w:cs="Calibri"/>
        <w:color w:val="6B7280"/>
        <w:sz w:val="18"/>
      </w:rPr>
      <w:t xml:space="preserve">第 </w:t>
    </w:r>
    <w:fldSimple w:instr="PAGE"/>
    <w:r>
      <w:rPr>
        <w:rFonts w:ascii="Calibri" w:hAnsi="Calibri" w:eastAsia="Microsoft YaHei" w:cs="Calibri"/>
        <w:color w:val="6B728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•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•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1F4D78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40" w:after="60"/>
      <w:outlineLvl w:val="4"/>
    </w:pPr>
    <w:rPr>
      <w:rFonts w:asciiTheme="majorHAnsi" w:eastAsiaTheme="majorEastAsia" w:hAnsiTheme="majorHAnsi" w:cstheme="majorBidi" w:ascii="Calibri" w:hAnsi="Calibri" w:eastAsia="Microsoft YaHei"/>
      <w:b/>
      <w:color w:val="1F4D78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20" w:after="60"/>
      <w:outlineLvl w:val="5"/>
    </w:pPr>
    <w:rPr>
      <w:rFonts w:asciiTheme="majorHAnsi" w:eastAsiaTheme="majorEastAsia" w:hAnsiTheme="majorHAnsi" w:cstheme="majorBidi" w:ascii="Calibri" w:hAnsi="Calibri" w:eastAsia="Microsoft YaHei"/>
      <w:b/>
      <w:i/>
      <w:iCs/>
      <w:color w:val="1F4D78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