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 w:cs="Calibri"/>
        </w:rPr>
        <w:t>游味烧鸟品牌故事</w:t>
      </w:r>
    </w:p>
    <w:p>
      <w:r>
        <w:rPr>
          <w:rFonts w:ascii="Calibri" w:hAnsi="Calibri" w:eastAsia="Microsoft YaHei" w:cs="Calibri"/>
        </w:rPr>
        <w:t>后湖有风，湖畔有人。</w:t>
      </w:r>
    </w:p>
    <w:p>
      <w:r>
        <w:rPr>
          <w:rFonts w:ascii="Calibri" w:hAnsi="Calibri" w:eastAsia="Microsoft YaHei" w:cs="Calibri"/>
        </w:rPr>
        <w:t>傍晚之后，灯火亮起。一串烧鸟，一杯清酒，让匆忙的人停下来。</w:t>
      </w:r>
    </w:p>
    <w:p>
      <w:r>
        <w:rPr>
          <w:rFonts w:ascii="Calibri" w:hAnsi="Calibri" w:eastAsia="Microsoft YaHei" w:cs="Calibri"/>
        </w:rPr>
        <w:t>游味烧鸟希望创造的不只是一次用餐，而是一段属于长沙后湖的夜晚记忆。</w:t>
      </w:r>
    </w:p>
    <w:p>
      <w:r>
        <w:rPr>
          <w:rFonts w:ascii="Calibri" w:hAnsi="Calibri" w:eastAsia="Microsoft YaHei" w:cs="Calibri"/>
          <w:b/>
        </w:rPr>
        <w:t>游于湖畔，味在人间。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 w:cs="Calibri"/>
        <w:color w:val="6B7280"/>
        <w:sz w:val="18"/>
      </w:rPr>
      <w:t xml:space="preserve">第 </w:t>
    </w:r>
    <w:fldSimple w:instr="PAGE"/>
    <w:r>
      <w:rPr>
        <w:rFonts w:ascii="Calibri" w:hAnsi="Calibri" w:eastAsia="Microsoft YaHei" w:cs="Calibri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•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•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40" w:after="60"/>
      <w:outlineLvl w:val="4"/>
    </w:pPr>
    <w:rPr>
      <w:rFonts w:asciiTheme="majorHAnsi" w:eastAsiaTheme="majorEastAsia" w:hAnsiTheme="majorHAnsi" w:cstheme="majorBidi" w:ascii="Calibri" w:hAnsi="Calibri" w:eastAsia="Microsoft YaHei"/>
      <w:b/>
      <w:color w:val="1F4D78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1F4D78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