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游味烧鸟｜同一建筑最终效果图索引</w:t>
      </w:r>
    </w:p>
    <w:p>
      <w:pPr>
        <w:pStyle w:val="Heading2"/>
      </w:pPr>
      <w:r>
        <w:rPr>
          <w:rFonts w:ascii="Calibri" w:hAnsi="Calibri" w:eastAsia="Microsoft YaHei" w:cs="Calibri"/>
        </w:rPr>
        <w:t>建筑母版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01_主视角效果图_V10_最终版.png</w:t>
      </w:r>
      <w:r>
        <w:rPr>
          <w:rFonts w:ascii="Calibri" w:hAnsi="Calibri" w:eastAsia="Microsoft YaHei" w:cs="Calibri"/>
        </w:rPr>
        <w:t>：最终主视图；所有新图的建筑、材质、灯光母版。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02_右前侧视角效果图_V6_与主视图V10统一版.png</w:t>
      </w:r>
      <w:r>
        <w:rPr>
          <w:rFonts w:ascii="Calibri" w:hAnsi="Calibri" w:eastAsia="Microsoft YaHei" w:cs="Calibri"/>
        </w:rPr>
        <w:t>：与 V10 对齐的右前侧最终视图。</w:t>
      </w:r>
    </w:p>
    <w:p>
      <w:pPr>
        <w:pStyle w:val="Heading2"/>
      </w:pPr>
      <w:r>
        <w:rPr>
          <w:rFonts w:ascii="Calibri" w:hAnsi="Calibri" w:eastAsia="Microsoft YaHei" w:cs="Calibri"/>
        </w:rPr>
        <w:t>同建筑多视角图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03_同建筑多视角图/03_左前侧全景.png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03_同建筑多视角图/04_中央步入视角.png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03_同建筑多视角图/05_板前客席视角.png</w:t>
      </w:r>
    </w:p>
    <w:p>
      <w:pPr>
        <w:pStyle w:val="Heading2"/>
      </w:pPr>
      <w:r>
        <w:rPr>
          <w:rFonts w:ascii="Calibri" w:hAnsi="Calibri" w:eastAsia="Microsoft YaHei" w:cs="Calibri"/>
        </w:rPr>
        <w:t>同建筑细节图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04_同建筑细节图/01_板前五席与操作区细节.png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04_同建筑细节图/02_展示冰箱与烧鸟炉细节.png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04_同建筑细节图/03_左侧吧台沙发与L形花坛细节.png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04_同建筑细节图/04_木构顶棚与灯光节点细节.png</w:t>
      </w:r>
    </w:p>
    <w:p>
      <w:pPr>
        <w:pStyle w:val="Heading2"/>
      </w:pPr>
      <w:r>
        <w:rPr>
          <w:rFonts w:ascii="Calibri" w:hAnsi="Calibri" w:eastAsia="Microsoft YaHei" w:cs="Calibri"/>
        </w:rPr>
        <w:t>同建筑室内空间效果图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05_同建筑室内空间效果图/01_正面吧台看中间沙发与左向通道_V2.png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05_同建筑室内空间效果图/02_吧台上方看室内与临湖吧台_V2.png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05_同建筑室内空间效果图/03_板前视角左侧外扩且不见左吧台_V2.png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05_同建筑室内空间效果图/04_展示冰箱上方看操作区与台下设备_V2.png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05_同建筑室内空间效果图/05_后侧看湖与外向吧台通道_V2.png</w:t>
      </w:r>
    </w:p>
    <w:p>
      <w:r>
        <w:rPr>
          <w:rFonts w:ascii="Calibri" w:hAnsi="Calibri" w:eastAsia="Microsoft YaHei" w:cs="Calibri"/>
        </w:rPr>
        <w:t xml:space="preserve">以上 V2 为当前有效室内方案；同目录中无 </w:t>
      </w:r>
      <w:r>
        <w:rPr>
          <w:rFonts w:ascii="Consolas" w:hAnsi="Consolas" w:eastAsia="DengXian" w:cs="Consolas"/>
          <w:color w:val="374151"/>
          <w:sz w:val="20"/>
          <w:shd w:fill="F3F4F6"/>
        </w:rPr>
        <w:t>V2</w:t>
      </w:r>
      <w:r>
        <w:rPr>
          <w:rFonts w:ascii="Calibri" w:hAnsi="Calibri" w:eastAsia="Microsoft YaHei" w:cs="Calibri"/>
        </w:rPr>
        <w:t xml:space="preserve"> 后缀的文件为上一轮历史稿，不再作为空间依据。</w:t>
      </w:r>
    </w:p>
    <w:p>
      <w:pPr>
        <w:pStyle w:val="Heading2"/>
      </w:pPr>
      <w:r>
        <w:rPr>
          <w:rFonts w:ascii="Calibri" w:hAnsi="Calibri" w:eastAsia="Microsoft YaHei" w:cs="Calibri"/>
        </w:rPr>
        <w:t>统一空间规则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左侧吧台后方为沙发区，最左侧不设入口。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通行从中央沙发区向左侧延伸。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正面与最左侧边界为连续 L 形低矮花坛。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板前为纵深型吧台，客侧固定五席。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展示冰箱独立设置；冰箱后方不增设操作台。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烧鸟炉位于最右外侧，厨师面向烧鸟炉操作。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全套统一为深蓝湖景夜色、暖琥珀木构灯光和细颗粒写实材质。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