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材料、灯光与施工建议</w:t>
      </w:r>
    </w:p>
    <w:p>
      <w:pPr>
        <w:pStyle w:val="Heading2"/>
      </w:pPr>
      <w:r>
        <w:rPr>
          <w:rFonts w:ascii="Calibri" w:hAnsi="Calibri" w:eastAsia="Microsoft YaHei" w:cs="Calibri"/>
        </w:rPr>
        <w:t>材料原则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主体原木：与既有木构统一，户外部位采用耐候做法。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黑色金属：灯具、边框、设备可见部分，控制比例。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亚麻与织物：灯罩、软装和菜单封套，增强温度。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石材：花坛基座、局部台面和高磨损区域。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铜色细节：把手、小标牌和节点点缀，不宜大面积使用。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竹木格栅：背景、酒柜与半透明分隔。</w:t>
      </w:r>
    </w:p>
    <w:p>
      <w:pPr>
        <w:pStyle w:val="Heading2"/>
      </w:pPr>
      <w:r>
        <w:rPr>
          <w:rFonts w:ascii="Calibri" w:hAnsi="Calibri" w:eastAsia="Microsoft YaHei" w:cs="Calibri"/>
        </w:rPr>
        <w:t>灯光原则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夜景以暖光为主，建议主氛围约 2400K–3000K，最终以现场样灯为准。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中部沙发区使用低位桌灯与隐蔽环境光，避免顶面过亮。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板前桌面需要看清食物，同时避免直接眩光。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炭火与后墙酒柜形成视觉终点，酒柜只做层次照明，不做高亮展柜。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门头和冰箱底座保证夜间识别，但亮度不得压过木屋整体氛围。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灯具回路分为门头、花坛、沙发、板前、操作、酒柜和清洁照明，便于分场景控制。</w:t>
      </w:r>
    </w:p>
    <w:p>
      <w:pPr>
        <w:pStyle w:val="Heading2"/>
      </w:pPr>
      <w:r>
        <w:rPr>
          <w:rFonts w:ascii="Calibri" w:hAnsi="Calibri" w:eastAsia="Microsoft YaHei" w:cs="Calibri"/>
        </w:rPr>
        <w:t>施工深化重点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复核建筑总长、进深、柱网、净高、台阶和前后高差。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确认花坛、品牌封板、吧台、沙发、茶几及通道尺寸。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确认冰箱型号、宽度、散热、检修、排水、电源、承重和防水。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明确板前桌面、高岛台、操作台的高度与进深。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核对师傅背向客人操作时的炉具热区、排烟、补风和消防条件。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统筹洗碗、炸物、饮品、调酒、烧鸟、冷藏和收纳点位。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绘制后墙设备与酒柜综合立面，解决设备开门与检修空间。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完成照明点位、控制回路、给排水、强弱电、排烟和消防图。</w:t>
      </w:r>
    </w:p>
    <w:p>
      <w:pPr>
        <w:pStyle w:val="Heading2"/>
      </w:pPr>
      <w:r>
        <w:rPr>
          <w:rFonts w:ascii="Calibri" w:hAnsi="Calibri" w:eastAsia="Microsoft YaHei" w:cs="Calibri"/>
        </w:rPr>
        <w:t>风险提示</w:t>
      </w:r>
    </w:p>
    <w:p>
      <w:r>
        <w:rPr>
          <w:rFonts w:ascii="Calibri" w:hAnsi="Calibri" w:eastAsia="Microsoft YaHei" w:cs="Calibri"/>
        </w:rPr>
        <w:t>对话中出现的尺寸用于方案沟通，不能直接作为施工放样依据。施工前必须完成现场复尺、设备选型、机电与消防核查。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