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下一阶段工作清单</w:t>
      </w:r>
    </w:p>
    <w:p>
      <w:pPr>
        <w:pStyle w:val="Heading2"/>
      </w:pPr>
      <w:r>
        <w:rPr>
          <w:rFonts w:ascii="Calibri" w:hAnsi="Calibri" w:eastAsia="Microsoft YaHei" w:cs="Calibri"/>
        </w:rPr>
        <w:t>1. 图片归档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从原对话下载最终确认的母图与参考图。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按《图片说明》统一命名。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删除或单独归档空间逻辑错误的早期版本。</w:t>
      </w:r>
    </w:p>
    <w:p>
      <w:pPr>
        <w:pStyle w:val="Heading2"/>
      </w:pPr>
      <w:r>
        <w:rPr>
          <w:rFonts w:ascii="Calibri" w:hAnsi="Calibri" w:eastAsia="Microsoft YaHei" w:cs="Calibri"/>
        </w:rPr>
        <w:t>2. 设计深化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现场复尺并锁定平面图。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完成右侧板前剖面与设备图。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核实约80cm操作通道、座位尺度、炉具散热排烟。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核实展示冰箱电源、排水、散热与维护距离。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完成灯光回路、材料样板与植物配置。</w:t>
      </w:r>
    </w:p>
    <w:p>
      <w:pPr>
        <w:pStyle w:val="Heading2"/>
      </w:pPr>
      <w:r>
        <w:rPr>
          <w:rFonts w:ascii="Calibri" w:hAnsi="Calibri" w:eastAsia="Microsoft YaHei" w:cs="Calibri"/>
        </w:rPr>
        <w:t>3. VI定稿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输出Logo矢量文件（AI/SVG/PDF）及黑白版。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确认标准色、字体授权、最小尺寸与安全留白。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优先落地门头、冰箱底座、菜单、桌牌与桌灯。</w:t>
      </w:r>
    </w:p>
    <w:p>
      <w:pPr>
        <w:pStyle w:val="Heading2"/>
      </w:pPr>
      <w:r>
        <w:rPr>
          <w:rFonts w:ascii="Calibri" w:hAnsi="Calibri" w:eastAsia="Microsoft YaHei" w:cs="Calibri"/>
        </w:rPr>
        <w:t>4. 对外方案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在最终图片补齐后，制作完整品牌方案PDF。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分别准备施工沟通版、招商/投资人版和社交传播版。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